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FE2C06">
        <w:rPr>
          <w:rFonts w:eastAsia="宋体"/>
          <w:lang w:eastAsia="zh-CN"/>
        </w:rPr>
        <w:t xml:space="preserve">5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2C2C77" w:rsidRPr="002C2C77">
        <w:t>R4-2219567</w:t>
      </w:r>
      <w:bookmarkStart w:id="2" w:name="_GoBack"/>
      <w:bookmarkEnd w:id="2"/>
    </w:p>
    <w:p w:rsidR="00675C27" w:rsidRPr="00444A16" w:rsidRDefault="00FE2C06" w:rsidP="00F71A33">
      <w:pPr>
        <w:pStyle w:val="aff2"/>
        <w:rPr>
          <w:rFonts w:eastAsia="宋体"/>
          <w:lang w:eastAsia="zh-CN"/>
        </w:rPr>
      </w:pPr>
      <w:r>
        <w:rPr>
          <w:sz w:val="24"/>
          <w:szCs w:val="24"/>
          <w:lang w:eastAsia="zh-CN"/>
        </w:rPr>
        <w:t>Toulouse, 14</w:t>
      </w:r>
      <w:r w:rsidRPr="008F59EE">
        <w:rPr>
          <w:sz w:val="24"/>
          <w:szCs w:val="24"/>
          <w:vertAlign w:val="superscript"/>
          <w:lang w:eastAsia="zh-CN"/>
        </w:rPr>
        <w:t>th</w:t>
      </w:r>
      <w:r>
        <w:rPr>
          <w:sz w:val="24"/>
          <w:szCs w:val="24"/>
          <w:lang w:eastAsia="zh-CN"/>
        </w:rPr>
        <w:t>-18</w:t>
      </w:r>
      <w:r w:rsidRPr="008F59EE">
        <w:rPr>
          <w:sz w:val="24"/>
          <w:szCs w:val="24"/>
          <w:vertAlign w:val="superscript"/>
          <w:lang w:eastAsia="zh-CN"/>
        </w:rPr>
        <w:t>th</w:t>
      </w:r>
      <w:r>
        <w:rPr>
          <w:sz w:val="24"/>
          <w:szCs w:val="24"/>
          <w:lang w:eastAsia="zh-CN"/>
        </w:rPr>
        <w:t>, Nov</w:t>
      </w:r>
      <w:r w:rsidRPr="00697EEA">
        <w:rPr>
          <w:sz w:val="24"/>
          <w:szCs w:val="24"/>
          <w:lang w:eastAsia="zh-CN"/>
        </w:rPr>
        <w:t>, 20</w:t>
      </w:r>
      <w:r w:rsidRPr="00BF1228">
        <w:rPr>
          <w:sz w:val="24"/>
          <w:szCs w:val="24"/>
          <w:lang w:eastAsia="zh-CN"/>
        </w:rPr>
        <w:t>2</w:t>
      </w:r>
      <w:r>
        <w:rPr>
          <w:sz w:val="24"/>
          <w:szCs w:val="24"/>
          <w:lang w:eastAsia="zh-CN"/>
        </w:rPr>
        <w:t>2</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F5435" w:rsidRPr="00EF5435">
        <w:rPr>
          <w:rFonts w:ascii="Arial" w:hAnsi="Arial" w:cs="Arial"/>
          <w:sz w:val="22"/>
        </w:rPr>
        <w:t xml:space="preserve">On </w:t>
      </w:r>
      <w:r w:rsidR="00FE2C06">
        <w:rPr>
          <w:rFonts w:ascii="Arial" w:hAnsi="Arial" w:cs="Arial"/>
          <w:sz w:val="22"/>
        </w:rPr>
        <w:t>4Tx UE RF requirements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E2C06">
        <w:rPr>
          <w:rFonts w:ascii="Arial" w:hAnsi="Arial" w:cs="Arial"/>
          <w:sz w:val="22"/>
        </w:rPr>
        <w:t>8.6.2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C809E5" w:rsidRDefault="00C809E5" w:rsidP="00C809E5">
      <w:pPr>
        <w:rPr>
          <w:lang w:val="x-none"/>
        </w:rPr>
      </w:pPr>
      <w:r>
        <w:rPr>
          <w:lang w:val="x-none"/>
        </w:rPr>
        <w:t xml:space="preserve">Requirements and issues </w:t>
      </w:r>
      <w:r w:rsidR="00DA0663">
        <w:rPr>
          <w:lang w:val="x-none"/>
        </w:rPr>
        <w:t>identified so far for 4Tx have been further discussed in last RAN4 meeting [1]</w:t>
      </w:r>
      <w:r>
        <w:rPr>
          <w:lang w:val="x-none"/>
        </w:rPr>
        <w:t>.</w:t>
      </w:r>
      <w:r w:rsidR="00DA0663">
        <w:rPr>
          <w:lang w:val="x-none"/>
        </w:rPr>
        <w:t xml:space="preserve"> </w:t>
      </w:r>
    </w:p>
    <w:p w:rsidR="00C809E5" w:rsidRDefault="00C809E5" w:rsidP="00C809E5">
      <w:r>
        <w:rPr>
          <w:lang w:val="x-none"/>
        </w:rPr>
        <w:t>This contribution provides our further analysis on 4Tx RF requirements.</w:t>
      </w:r>
    </w:p>
    <w:p w:rsidR="00062E8E" w:rsidRDefault="00062E8E" w:rsidP="00F23E96">
      <w:pPr>
        <w:pStyle w:val="1"/>
        <w:spacing w:after="240"/>
        <w:rPr>
          <w:rFonts w:eastAsia="宋体"/>
          <w:lang w:eastAsia="zh-CN"/>
        </w:rPr>
      </w:pPr>
      <w:r>
        <w:rPr>
          <w:rFonts w:eastAsia="宋体" w:hint="eastAsia"/>
          <w:lang w:eastAsia="zh-CN"/>
        </w:rPr>
        <w:t>Discussion</w:t>
      </w:r>
    </w:p>
    <w:p w:rsidR="00DA0663" w:rsidRDefault="00DA0663" w:rsidP="00DA0663">
      <w:pPr>
        <w:pStyle w:val="2"/>
        <w:spacing w:after="240"/>
        <w:rPr>
          <w:rFonts w:eastAsiaTheme="minorEastAsia"/>
          <w:lang w:eastAsia="zh-CN"/>
        </w:rPr>
      </w:pPr>
      <w:r>
        <w:rPr>
          <w:rFonts w:eastAsiaTheme="minorEastAsia" w:hint="eastAsia"/>
          <w:lang w:eastAsia="zh-CN"/>
        </w:rPr>
        <w:t>S</w:t>
      </w:r>
      <w:r>
        <w:rPr>
          <w:rFonts w:eastAsiaTheme="minorEastAsia"/>
          <w:lang w:eastAsia="zh-CN"/>
        </w:rPr>
        <w:t>AR/MPE compliance</w:t>
      </w:r>
    </w:p>
    <w:p w:rsidR="00DA0663" w:rsidRDefault="00DA0663" w:rsidP="00DA0663">
      <w:r>
        <w:rPr>
          <w:rFonts w:hint="eastAsia"/>
        </w:rPr>
        <w:t>T</w:t>
      </w:r>
      <w:r>
        <w:t xml:space="preserve">wo options for SAR compliance have been discussed in last meeting. </w:t>
      </w:r>
    </w:p>
    <w:p w:rsidR="00DA0663" w:rsidRPr="00DA0663" w:rsidRDefault="00DA0663" w:rsidP="00DB1F03">
      <w:pPr>
        <w:widowControl w:val="0"/>
        <w:numPr>
          <w:ilvl w:val="1"/>
          <w:numId w:val="47"/>
        </w:numPr>
        <w:tabs>
          <w:tab w:val="left" w:pos="484"/>
          <w:tab w:val="left" w:pos="709"/>
          <w:tab w:val="left" w:pos="1701"/>
        </w:tabs>
        <w:overflowPunct/>
        <w:autoSpaceDE/>
        <w:autoSpaceDN/>
        <w:adjustRightInd/>
        <w:snapToGrid w:val="0"/>
        <w:spacing w:after="100"/>
        <w:ind w:leftChars="213" w:left="709" w:hanging="283"/>
        <w:textAlignment w:val="auto"/>
        <w:rPr>
          <w:i/>
          <w:szCs w:val="24"/>
        </w:rPr>
      </w:pPr>
      <w:r w:rsidRPr="00DA0663">
        <w:rPr>
          <w:i/>
          <w:szCs w:val="24"/>
        </w:rPr>
        <w:t>Option 1: Only consider P-MPR approach for</w:t>
      </w:r>
      <w:r w:rsidRPr="00DA0663">
        <w:rPr>
          <w:i/>
        </w:rPr>
        <w:t xml:space="preserve"> CPE/FWA/vehicle/industrial devices </w:t>
      </w:r>
    </w:p>
    <w:p w:rsidR="00DA0663" w:rsidRPr="00DA0663" w:rsidRDefault="00DA0663" w:rsidP="00DB1F03">
      <w:pPr>
        <w:widowControl w:val="0"/>
        <w:numPr>
          <w:ilvl w:val="1"/>
          <w:numId w:val="47"/>
        </w:numPr>
        <w:tabs>
          <w:tab w:val="left" w:pos="484"/>
          <w:tab w:val="left" w:pos="709"/>
          <w:tab w:val="left" w:pos="1701"/>
        </w:tabs>
        <w:overflowPunct/>
        <w:autoSpaceDE/>
        <w:autoSpaceDN/>
        <w:adjustRightInd/>
        <w:snapToGrid w:val="0"/>
        <w:spacing w:after="100"/>
        <w:ind w:leftChars="213" w:left="709" w:hanging="283"/>
        <w:textAlignment w:val="auto"/>
        <w:rPr>
          <w:i/>
          <w:szCs w:val="24"/>
        </w:rPr>
      </w:pPr>
      <w:r w:rsidRPr="00DA0663">
        <w:rPr>
          <w:i/>
          <w:szCs w:val="24"/>
        </w:rPr>
        <w:t xml:space="preserve">Option 2: Confirm existing solutions including P-MPR and UL </w:t>
      </w:r>
      <w:proofErr w:type="spellStart"/>
      <w:r w:rsidRPr="00DA0663">
        <w:rPr>
          <w:i/>
          <w:szCs w:val="24"/>
        </w:rPr>
        <w:t>dutycycle</w:t>
      </w:r>
      <w:proofErr w:type="spellEnd"/>
      <w:r w:rsidRPr="00DA0663">
        <w:rPr>
          <w:i/>
          <w:szCs w:val="24"/>
        </w:rPr>
        <w:t xml:space="preserve"> scheme for </w:t>
      </w:r>
      <w:r w:rsidRPr="00DA0663">
        <w:rPr>
          <w:i/>
        </w:rPr>
        <w:t xml:space="preserve">CPE/FWA/vehicle/industrial devices since P-MPR number is flexible and </w:t>
      </w:r>
      <w:proofErr w:type="spellStart"/>
      <w:r w:rsidRPr="00DA0663">
        <w:rPr>
          <w:i/>
        </w:rPr>
        <w:t>dutycycle</w:t>
      </w:r>
      <w:proofErr w:type="spellEnd"/>
      <w:r w:rsidRPr="00DA0663">
        <w:rPr>
          <w:i/>
        </w:rPr>
        <w:t xml:space="preserve"> is or optional. </w:t>
      </w:r>
    </w:p>
    <w:p w:rsidR="00DA0663" w:rsidRDefault="00DA0663" w:rsidP="00DA0663">
      <w:r>
        <w:rPr>
          <w:rFonts w:hint="eastAsia"/>
        </w:rPr>
        <w:t>F</w:t>
      </w:r>
      <w:r>
        <w:t>or HPUE, P-MPR is always the baseline solution to address the SAR issue. While for U</w:t>
      </w:r>
      <w:r>
        <w:rPr>
          <w:rFonts w:hint="eastAsia"/>
        </w:rPr>
        <w:t>L</w:t>
      </w:r>
      <w:r>
        <w:t xml:space="preserve"> </w:t>
      </w:r>
      <w:proofErr w:type="spellStart"/>
      <w:r>
        <w:t>dutycycle</w:t>
      </w:r>
      <w:proofErr w:type="spellEnd"/>
      <w:r>
        <w:t xml:space="preserve">, as an optional solution, we are open to consider it for </w:t>
      </w:r>
      <w:r w:rsidRPr="00DA0663">
        <w:t>CPE/FWA/vehicle/industrial devices</w:t>
      </w:r>
      <w:r>
        <w:t xml:space="preserve"> to support 4Tx. What matters is how UE </w:t>
      </w:r>
      <w:r w:rsidR="009B562D">
        <w:t>report the optional capability and how to reflect it in the specification.</w:t>
      </w:r>
    </w:p>
    <w:p w:rsidR="00DA0663" w:rsidRPr="00DA0663" w:rsidRDefault="009B562D" w:rsidP="00DA0663">
      <w:r>
        <w:rPr>
          <w:b/>
          <w:i/>
        </w:rPr>
        <w:t xml:space="preserve">Proposal 1: UL </w:t>
      </w:r>
      <w:proofErr w:type="spellStart"/>
      <w:r>
        <w:rPr>
          <w:b/>
          <w:i/>
        </w:rPr>
        <w:t>dutycycle</w:t>
      </w:r>
      <w:proofErr w:type="spellEnd"/>
      <w:r>
        <w:rPr>
          <w:b/>
          <w:i/>
        </w:rPr>
        <w:t xml:space="preserve"> as an optional solution to address the SAR/MPE issue could be considered for </w:t>
      </w:r>
      <w:r w:rsidRPr="009B562D">
        <w:rPr>
          <w:b/>
          <w:i/>
        </w:rPr>
        <w:t>CPE/FWA/vehicle/industrial devices</w:t>
      </w:r>
      <w:r>
        <w:rPr>
          <w:b/>
          <w:i/>
        </w:rPr>
        <w:t xml:space="preserve"> supporting 4Tx.</w:t>
      </w:r>
    </w:p>
    <w:p w:rsidR="00DA0663" w:rsidRDefault="00DA0663" w:rsidP="00DA0663">
      <w:pPr>
        <w:pStyle w:val="2"/>
        <w:spacing w:after="240"/>
        <w:rPr>
          <w:lang w:val="en-US"/>
        </w:rPr>
      </w:pPr>
      <w:r>
        <w:rPr>
          <w:lang w:val="en-US"/>
        </w:rPr>
        <w:t>Fallback power class and applicable requirements for PC1.5</w:t>
      </w:r>
    </w:p>
    <w:p w:rsidR="009B562D" w:rsidRDefault="009B562D" w:rsidP="00DA0663">
      <w:pPr>
        <w:rPr>
          <w:lang w:val="en-US"/>
        </w:rPr>
      </w:pPr>
      <w:r>
        <w:rPr>
          <w:rFonts w:hint="eastAsia"/>
          <w:lang w:val="en-US"/>
        </w:rPr>
        <w:t>P</w:t>
      </w:r>
      <w:r>
        <w:rPr>
          <w:lang w:val="en-US"/>
        </w:rPr>
        <w:t xml:space="preserve">ower class fallback has been in the WF as well, where it is proposed </w:t>
      </w:r>
      <w:r w:rsidRPr="009B562D">
        <w:rPr>
          <w:lang w:val="en-US"/>
        </w:rPr>
        <w:t>consider dual Tx PC2 requirement as the fallback requirement for 4Tx PC1.5</w:t>
      </w:r>
      <w:r>
        <w:rPr>
          <w:lang w:val="en-US"/>
        </w:rPr>
        <w:t xml:space="preserve">, however, companies think more consideration is needed for the fallback issue. </w:t>
      </w:r>
    </w:p>
    <w:p w:rsidR="00DA0663" w:rsidRDefault="009B562D" w:rsidP="00DA0663">
      <w:r>
        <w:rPr>
          <w:rFonts w:hint="eastAsia"/>
        </w:rPr>
        <w:t>R</w:t>
      </w:r>
      <w:r>
        <w:t xml:space="preserve">egarding power class </w:t>
      </w:r>
      <w:proofErr w:type="spellStart"/>
      <w:r>
        <w:t>fallback</w:t>
      </w:r>
      <w:proofErr w:type="spellEnd"/>
      <w:r>
        <w:t xml:space="preserve">, several </w:t>
      </w:r>
      <w:r w:rsidR="00627C65">
        <w:t>aspects have been mentioned during the discussion, which are listed as below:</w:t>
      </w:r>
    </w:p>
    <w:p w:rsidR="00627C65" w:rsidRDefault="00627C65" w:rsidP="00627C65">
      <w:pPr>
        <w:pStyle w:val="afff0"/>
        <w:numPr>
          <w:ilvl w:val="0"/>
          <w:numId w:val="48"/>
        </w:numPr>
        <w:spacing w:afterLines="50" w:after="120"/>
        <w:ind w:firstLineChars="0"/>
        <w:rPr>
          <w:rFonts w:ascii="Times New Roman" w:hAnsi="Times New Roman"/>
        </w:rPr>
      </w:pPr>
      <w:r w:rsidRPr="00627C65">
        <w:rPr>
          <w:rFonts w:ascii="Times New Roman" w:hAnsi="Times New Roman"/>
        </w:rPr>
        <w:t xml:space="preserve">Whether both PC2 and PC3 should be considered as fallback power class as they could be affected by UL </w:t>
      </w:r>
      <w:proofErr w:type="spellStart"/>
      <w:r w:rsidRPr="00627C65">
        <w:rPr>
          <w:rFonts w:ascii="Times New Roman" w:hAnsi="Times New Roman"/>
        </w:rPr>
        <w:t>dutycycle</w:t>
      </w:r>
      <w:proofErr w:type="spellEnd"/>
      <w:r w:rsidRPr="00627C65">
        <w:rPr>
          <w:rFonts w:ascii="Times New Roman" w:hAnsi="Times New Roman"/>
        </w:rPr>
        <w:t xml:space="preserve"> and </w:t>
      </w:r>
      <w:proofErr w:type="spellStart"/>
      <w:r w:rsidRPr="00627C65">
        <w:rPr>
          <w:rFonts w:ascii="Times New Roman" w:hAnsi="Times New Roman"/>
        </w:rPr>
        <w:t>Pmax</w:t>
      </w:r>
      <w:proofErr w:type="spellEnd"/>
      <w:r w:rsidRPr="00627C65">
        <w:rPr>
          <w:rFonts w:ascii="Times New Roman" w:hAnsi="Times New Roman"/>
        </w:rPr>
        <w:t xml:space="preserve">. </w:t>
      </w:r>
    </w:p>
    <w:p w:rsidR="00627C65" w:rsidRDefault="00627C65" w:rsidP="00627C65">
      <w:pPr>
        <w:pStyle w:val="afff0"/>
        <w:numPr>
          <w:ilvl w:val="0"/>
          <w:numId w:val="48"/>
        </w:numPr>
        <w:spacing w:afterLines="50" w:after="120"/>
        <w:ind w:firstLineChars="0"/>
        <w:rPr>
          <w:rFonts w:ascii="Times New Roman" w:hAnsi="Times New Roman"/>
        </w:rPr>
      </w:pPr>
      <w:r>
        <w:rPr>
          <w:rFonts w:ascii="Times New Roman" w:hAnsi="Times New Roman" w:hint="eastAsia"/>
          <w:lang w:eastAsia="zh-CN"/>
        </w:rPr>
        <w:t>W</w:t>
      </w:r>
      <w:r>
        <w:rPr>
          <w:rFonts w:ascii="Times New Roman" w:hAnsi="Times New Roman"/>
          <w:lang w:eastAsia="zh-CN"/>
        </w:rPr>
        <w:t>hether both 1 layer as well as 2 layer should be supported for the fallback power class</w:t>
      </w:r>
    </w:p>
    <w:p w:rsidR="00627C65" w:rsidRPr="00627C65" w:rsidRDefault="00627C65" w:rsidP="00627C65">
      <w:pPr>
        <w:pStyle w:val="afff0"/>
        <w:numPr>
          <w:ilvl w:val="0"/>
          <w:numId w:val="48"/>
        </w:numPr>
        <w:spacing w:afterLines="100" w:after="240"/>
        <w:ind w:firstLineChars="0"/>
        <w:rPr>
          <w:rFonts w:ascii="Times New Roman" w:hAnsi="Times New Roman"/>
        </w:rPr>
      </w:pPr>
      <w:r>
        <w:rPr>
          <w:rFonts w:ascii="Times New Roman" w:hAnsi="Times New Roman" w:hint="eastAsia"/>
          <w:lang w:eastAsia="zh-CN"/>
        </w:rPr>
        <w:t>W</w:t>
      </w:r>
      <w:r>
        <w:rPr>
          <w:rFonts w:ascii="Times New Roman" w:hAnsi="Times New Roman"/>
          <w:lang w:eastAsia="zh-CN"/>
        </w:rPr>
        <w:t>hether PA configuration other than 4x23dBm should be considered for the fallback power class</w:t>
      </w:r>
    </w:p>
    <w:p w:rsidR="00627C65" w:rsidRDefault="00627C65" w:rsidP="00DA0663">
      <w:r>
        <w:rPr>
          <w:rFonts w:hint="eastAsia"/>
        </w:rPr>
        <w:t>I</w:t>
      </w:r>
      <w:r>
        <w:t xml:space="preserve">n our view, if UL </w:t>
      </w:r>
      <w:proofErr w:type="spellStart"/>
      <w:r>
        <w:t>dutycycle</w:t>
      </w:r>
      <w:proofErr w:type="spellEnd"/>
      <w:r>
        <w:t xml:space="preserve"> capability is considered, PC2 should be considered for the </w:t>
      </w:r>
      <w:proofErr w:type="spellStart"/>
      <w:r>
        <w:t>fallback</w:t>
      </w:r>
      <w:proofErr w:type="spellEnd"/>
      <w:r>
        <w:t xml:space="preserve"> mode. While considering </w:t>
      </w:r>
      <w:proofErr w:type="spellStart"/>
      <w:r>
        <w:t>Pmax</w:t>
      </w:r>
      <w:proofErr w:type="spellEnd"/>
      <w:r>
        <w:t xml:space="preserve"> could be utilized for some specific scenarios, the </w:t>
      </w:r>
      <w:proofErr w:type="spellStart"/>
      <w:r>
        <w:t>fallback</w:t>
      </w:r>
      <w:proofErr w:type="spellEnd"/>
      <w:r>
        <w:t xml:space="preserve"> power class could also be extended to PC3. </w:t>
      </w:r>
    </w:p>
    <w:p w:rsidR="00627C65" w:rsidRDefault="00627C65" w:rsidP="00DA0663">
      <w:r>
        <w:rPr>
          <w:rFonts w:hint="eastAsia"/>
        </w:rPr>
        <w:t>A</w:t>
      </w:r>
      <w:r>
        <w:t xml:space="preserve">s for supported MIMO layer, we see no limitation for the </w:t>
      </w:r>
      <w:proofErr w:type="spellStart"/>
      <w:r>
        <w:t>fallback</w:t>
      </w:r>
      <w:proofErr w:type="spellEnd"/>
      <w:r>
        <w:t xml:space="preserve"> power class, which depends on UE capability. </w:t>
      </w:r>
    </w:p>
    <w:p w:rsidR="00627C65" w:rsidRPr="009B562D" w:rsidRDefault="00627C65" w:rsidP="00DA0663">
      <w:r>
        <w:t xml:space="preserve">For the possible PA configuration, since it is agreed in RAN4#104e that in current phase we should focus on the 4x23dBm </w:t>
      </w:r>
      <w:r w:rsidR="00481B74">
        <w:t>implementation for PC1.5, we think there is no need to consider other PA configurations, e.g. 2x26d</w:t>
      </w:r>
      <w:r w:rsidR="00481B74">
        <w:rPr>
          <w:rFonts w:hint="eastAsia"/>
        </w:rPr>
        <w:t>Bm</w:t>
      </w:r>
      <w:r w:rsidR="00481B74">
        <w:t xml:space="preserve">, for the </w:t>
      </w:r>
      <w:proofErr w:type="spellStart"/>
      <w:r w:rsidR="00481B74">
        <w:t>fallback</w:t>
      </w:r>
      <w:proofErr w:type="spellEnd"/>
      <w:r w:rsidR="00481B74">
        <w:t xml:space="preserve"> power class, at least for the discussion in phase 1.</w:t>
      </w:r>
    </w:p>
    <w:p w:rsidR="00DA0663" w:rsidRDefault="00DA0663" w:rsidP="00DA0663">
      <w:pPr>
        <w:rPr>
          <w:lang w:val="en-US"/>
        </w:rPr>
      </w:pPr>
      <w:r>
        <w:rPr>
          <w:b/>
          <w:i/>
        </w:rPr>
        <w:lastRenderedPageBreak/>
        <w:t>Proposal 2:</w:t>
      </w:r>
      <w:r w:rsidR="00481B74">
        <w:rPr>
          <w:b/>
          <w:i/>
        </w:rPr>
        <w:t xml:space="preserve"> Both PC2 and PC3 could be considered for the </w:t>
      </w:r>
      <w:proofErr w:type="spellStart"/>
      <w:r w:rsidR="00481B74">
        <w:rPr>
          <w:b/>
          <w:i/>
        </w:rPr>
        <w:t>fallback</w:t>
      </w:r>
      <w:proofErr w:type="spellEnd"/>
      <w:r w:rsidR="00481B74">
        <w:rPr>
          <w:b/>
          <w:i/>
        </w:rPr>
        <w:t xml:space="preserve"> power class and PA configuration of 2x26</w:t>
      </w:r>
      <w:r w:rsidR="001229E7">
        <w:rPr>
          <w:b/>
          <w:i/>
        </w:rPr>
        <w:t>dBm</w:t>
      </w:r>
      <w:r w:rsidR="00481B74">
        <w:rPr>
          <w:b/>
          <w:i/>
        </w:rPr>
        <w:t xml:space="preserve"> or 23+26</w:t>
      </w:r>
      <w:r w:rsidR="001229E7">
        <w:rPr>
          <w:b/>
          <w:i/>
        </w:rPr>
        <w:t>dBm</w:t>
      </w:r>
      <w:r w:rsidR="00481B74">
        <w:rPr>
          <w:b/>
          <w:i/>
        </w:rPr>
        <w:t xml:space="preserve"> is not considered during the discussion for the applicable requirements for </w:t>
      </w:r>
      <w:proofErr w:type="spellStart"/>
      <w:r w:rsidR="00481B74">
        <w:rPr>
          <w:b/>
          <w:i/>
        </w:rPr>
        <w:t>fallback</w:t>
      </w:r>
      <w:proofErr w:type="spellEnd"/>
      <w:r w:rsidR="00481B74">
        <w:rPr>
          <w:b/>
          <w:i/>
        </w:rPr>
        <w:t xml:space="preserve"> power class in phase 1</w:t>
      </w:r>
      <w:r>
        <w:rPr>
          <w:b/>
          <w:i/>
        </w:rPr>
        <w:t>.</w:t>
      </w:r>
    </w:p>
    <w:p w:rsidR="00DA0663" w:rsidRDefault="00DA0663" w:rsidP="00DA0663">
      <w:pPr>
        <w:pStyle w:val="2"/>
        <w:tabs>
          <w:tab w:val="num" w:pos="681"/>
        </w:tabs>
        <w:spacing w:beforeAutospacing="0" w:after="240"/>
        <w:rPr>
          <w:rFonts w:eastAsiaTheme="minorEastAsia"/>
          <w:lang w:eastAsia="zh-CN"/>
        </w:rPr>
      </w:pPr>
      <w:r>
        <w:rPr>
          <w:rFonts w:eastAsiaTheme="minorEastAsia"/>
          <w:lang w:eastAsia="zh-CN"/>
        </w:rPr>
        <w:t>MPR/A-MPR</w:t>
      </w:r>
    </w:p>
    <w:p w:rsidR="00DA0663" w:rsidRDefault="00AF741B" w:rsidP="00DA0663">
      <w:pPr>
        <w:rPr>
          <w:lang w:val="en-US"/>
        </w:rPr>
      </w:pPr>
      <w:r>
        <w:rPr>
          <w:lang w:val="en-US"/>
        </w:rPr>
        <w:t>The following MPR values are proposed in last meeting but no agreement yet</w:t>
      </w:r>
      <w:r w:rsidR="00DA0663">
        <w:rPr>
          <w:lang w:val="en-US"/>
        </w:rPr>
        <w:t xml:space="preserve">. </w:t>
      </w:r>
    </w:p>
    <w:p w:rsidR="00DA0663" w:rsidRDefault="00DA0663" w:rsidP="00DA0663">
      <w:pPr>
        <w:pStyle w:val="TH"/>
      </w:pPr>
      <w:r>
        <w:t xml:space="preserve">Table </w:t>
      </w:r>
      <w:r w:rsidR="00AF741B">
        <w:t>1:</w:t>
      </w:r>
      <w:r>
        <w:t xml:space="preserve"> Maximum power reduction (MPR)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134"/>
        <w:gridCol w:w="2126"/>
        <w:gridCol w:w="2126"/>
        <w:gridCol w:w="1990"/>
      </w:tblGrid>
      <w:tr w:rsidR="00DA0663" w:rsidTr="00AF741B">
        <w:trPr>
          <w:jc w:val="center"/>
        </w:trPr>
        <w:tc>
          <w:tcPr>
            <w:tcW w:w="2547" w:type="dxa"/>
            <w:gridSpan w:val="2"/>
            <w:tcBorders>
              <w:top w:val="single" w:sz="4" w:space="0" w:color="auto"/>
              <w:left w:val="single" w:sz="4" w:space="0" w:color="auto"/>
              <w:bottom w:val="nil"/>
              <w:right w:val="single" w:sz="4" w:space="0" w:color="auto"/>
            </w:tcBorders>
            <w:hideMark/>
          </w:tcPr>
          <w:p w:rsidR="00DA0663" w:rsidRDefault="00DA0663">
            <w:pPr>
              <w:pStyle w:val="TAH"/>
            </w:pPr>
            <w:r>
              <w:t>Modulation</w:t>
            </w:r>
          </w:p>
        </w:tc>
        <w:tc>
          <w:tcPr>
            <w:tcW w:w="6242" w:type="dxa"/>
            <w:gridSpan w:val="3"/>
            <w:tcBorders>
              <w:top w:val="single" w:sz="4" w:space="0" w:color="auto"/>
              <w:left w:val="single" w:sz="4" w:space="0" w:color="auto"/>
              <w:bottom w:val="single" w:sz="4" w:space="0" w:color="auto"/>
              <w:right w:val="single" w:sz="4" w:space="0" w:color="auto"/>
            </w:tcBorders>
            <w:hideMark/>
          </w:tcPr>
          <w:p w:rsidR="00DA0663" w:rsidRDefault="00DA0663">
            <w:pPr>
              <w:pStyle w:val="TAH"/>
            </w:pPr>
            <w:r>
              <w:t>MPR (dB)</w:t>
            </w:r>
          </w:p>
        </w:tc>
      </w:tr>
      <w:tr w:rsidR="00DA0663" w:rsidTr="00AF741B">
        <w:trPr>
          <w:trHeight w:val="248"/>
          <w:jc w:val="center"/>
        </w:trPr>
        <w:tc>
          <w:tcPr>
            <w:tcW w:w="2547" w:type="dxa"/>
            <w:gridSpan w:val="2"/>
            <w:tcBorders>
              <w:top w:val="nil"/>
              <w:left w:val="single" w:sz="4" w:space="0" w:color="auto"/>
              <w:bottom w:val="single" w:sz="4" w:space="0" w:color="auto"/>
              <w:right w:val="single" w:sz="4" w:space="0" w:color="auto"/>
            </w:tcBorders>
            <w:hideMark/>
          </w:tcPr>
          <w:p w:rsidR="00DA0663" w:rsidRDefault="00DA0663"/>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H"/>
            </w:pPr>
            <w:r>
              <w:t>Edge RB allocations</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H"/>
            </w:pPr>
            <w:r>
              <w:t>Outer RB allocations</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H"/>
            </w:pPr>
            <w:r>
              <w:t>Inner RB allocations</w:t>
            </w:r>
          </w:p>
        </w:tc>
      </w:tr>
      <w:tr w:rsidR="00DA0663" w:rsidTr="00AF741B">
        <w:trPr>
          <w:trHeight w:val="104"/>
          <w:jc w:val="center"/>
        </w:trPr>
        <w:tc>
          <w:tcPr>
            <w:tcW w:w="1413" w:type="dxa"/>
            <w:tcBorders>
              <w:top w:val="single" w:sz="4" w:space="0" w:color="auto"/>
              <w:left w:val="single" w:sz="4" w:space="0" w:color="auto"/>
              <w:bottom w:val="nil"/>
              <w:right w:val="single" w:sz="4" w:space="0" w:color="auto"/>
            </w:tcBorders>
            <w:hideMark/>
          </w:tcPr>
          <w:p w:rsidR="00DA0663" w:rsidRDefault="00DA0663">
            <w:pPr>
              <w:pStyle w:val="TAC"/>
            </w:pPr>
            <w:r>
              <w:t>DFT-s-OFDM</w:t>
            </w: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Pi/2 BPSK</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6</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en-US"/>
              </w:rPr>
            </w:pPr>
            <w:r>
              <w:t>≤ [</w:t>
            </w:r>
            <w:r>
              <w:rPr>
                <w:lang w:val="en-US"/>
              </w:rPr>
              <w:t>2]</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en-US"/>
              </w:rPr>
            </w:pPr>
            <w:r>
              <w:t xml:space="preserve">≤ </w:t>
            </w:r>
            <w:r>
              <w:rPr>
                <w:lang w:val="en-US"/>
              </w:rPr>
              <w:t>0.5</w:t>
            </w:r>
          </w:p>
        </w:tc>
      </w:tr>
      <w:tr w:rsidR="00DA0663" w:rsidTr="00AF741B">
        <w:trPr>
          <w:jc w:val="center"/>
        </w:trPr>
        <w:tc>
          <w:tcPr>
            <w:tcW w:w="1413" w:type="dxa"/>
            <w:tcBorders>
              <w:top w:val="nil"/>
              <w:left w:val="single" w:sz="4" w:space="0" w:color="auto"/>
              <w:bottom w:val="nil"/>
              <w:right w:val="single" w:sz="4" w:space="0" w:color="auto"/>
            </w:tcBorders>
            <w:hideMark/>
          </w:tcPr>
          <w:p w:rsidR="00DA0663" w:rsidRDefault="00DA0663">
            <w:pPr>
              <w:rPr>
                <w:lang w:val="en-US"/>
              </w:rPr>
            </w:pP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QPSK</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w:t>
            </w:r>
            <w:r>
              <w:rPr>
                <w:lang w:val="en-CA"/>
              </w:rPr>
              <w:t>2.5]</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CA"/>
              </w:rPr>
              <w:t>0.5</w:t>
            </w:r>
          </w:p>
        </w:tc>
      </w:tr>
      <w:tr w:rsidR="00DA0663" w:rsidTr="00AF741B">
        <w:trPr>
          <w:jc w:val="center"/>
        </w:trPr>
        <w:tc>
          <w:tcPr>
            <w:tcW w:w="1413" w:type="dxa"/>
            <w:tcBorders>
              <w:top w:val="nil"/>
              <w:left w:val="single" w:sz="4" w:space="0" w:color="auto"/>
              <w:bottom w:val="nil"/>
              <w:right w:val="single" w:sz="4" w:space="0" w:color="auto"/>
            </w:tcBorders>
            <w:hideMark/>
          </w:tcPr>
          <w:p w:rsidR="00DA0663" w:rsidRDefault="00DA0663">
            <w:pPr>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16 QAM</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w:t>
            </w:r>
            <w:r>
              <w:rPr>
                <w:lang w:val="en-CA"/>
              </w:rPr>
              <w:t>3.5]</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CA"/>
              </w:rPr>
              <w:t>1.5</w:t>
            </w:r>
          </w:p>
        </w:tc>
      </w:tr>
      <w:tr w:rsidR="00DA0663" w:rsidTr="00AF741B">
        <w:trPr>
          <w:jc w:val="center"/>
        </w:trPr>
        <w:tc>
          <w:tcPr>
            <w:tcW w:w="1413" w:type="dxa"/>
            <w:tcBorders>
              <w:top w:val="nil"/>
              <w:left w:val="single" w:sz="4" w:space="0" w:color="auto"/>
              <w:bottom w:val="nil"/>
              <w:right w:val="single" w:sz="4" w:space="0" w:color="auto"/>
            </w:tcBorders>
            <w:hideMark/>
          </w:tcPr>
          <w:p w:rsidR="00DA0663" w:rsidRDefault="00DA0663">
            <w:pPr>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64 QAM</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w:t>
            </w:r>
            <w:r>
              <w:rPr>
                <w:lang w:val="en-CA"/>
              </w:rPr>
              <w:t>4]</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CA"/>
              </w:rPr>
              <w:t>3.5</w:t>
            </w:r>
          </w:p>
        </w:tc>
      </w:tr>
      <w:tr w:rsidR="00DA0663" w:rsidTr="00AF741B">
        <w:trPr>
          <w:jc w:val="center"/>
        </w:trPr>
        <w:tc>
          <w:tcPr>
            <w:tcW w:w="1413" w:type="dxa"/>
            <w:tcBorders>
              <w:top w:val="nil"/>
              <w:left w:val="single" w:sz="4" w:space="0" w:color="auto"/>
              <w:bottom w:val="single" w:sz="4" w:space="0" w:color="auto"/>
              <w:right w:val="single" w:sz="4" w:space="0" w:color="auto"/>
            </w:tcBorders>
            <w:hideMark/>
          </w:tcPr>
          <w:p w:rsidR="00DA0663" w:rsidRDefault="00DA0663">
            <w:pPr>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256 QAM</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CA"/>
              </w:rPr>
              <w:t>6.5</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w:t>
            </w:r>
            <w:r>
              <w:rPr>
                <w:lang w:val="en-CA"/>
              </w:rPr>
              <w:t>6.5]</w:t>
            </w:r>
          </w:p>
        </w:tc>
      </w:tr>
      <w:tr w:rsidR="00DA0663" w:rsidTr="00AF741B">
        <w:trPr>
          <w:jc w:val="center"/>
        </w:trPr>
        <w:tc>
          <w:tcPr>
            <w:tcW w:w="1413" w:type="dxa"/>
            <w:tcBorders>
              <w:top w:val="single" w:sz="4" w:space="0" w:color="auto"/>
              <w:left w:val="single" w:sz="4" w:space="0" w:color="auto"/>
              <w:bottom w:val="nil"/>
              <w:right w:val="single" w:sz="4" w:space="0" w:color="auto"/>
            </w:tcBorders>
            <w:hideMark/>
          </w:tcPr>
          <w:p w:rsidR="00DA0663" w:rsidRDefault="00DA0663">
            <w:pPr>
              <w:pStyle w:val="TAC"/>
            </w:pPr>
            <w:r>
              <w:t>CP-OFDM</w:t>
            </w: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QPSK</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w:t>
            </w:r>
            <w:r>
              <w:rPr>
                <w:lang w:val="en-CA"/>
              </w:rPr>
              <w:t>4.5]</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w:t>
            </w:r>
            <w:r>
              <w:rPr>
                <w:lang w:val="en-CA"/>
              </w:rPr>
              <w:t xml:space="preserve"> 2</w:t>
            </w:r>
          </w:p>
        </w:tc>
      </w:tr>
      <w:tr w:rsidR="00DA0663" w:rsidTr="00AF741B">
        <w:trPr>
          <w:jc w:val="center"/>
        </w:trPr>
        <w:tc>
          <w:tcPr>
            <w:tcW w:w="1413" w:type="dxa"/>
            <w:tcBorders>
              <w:top w:val="nil"/>
              <w:left w:val="single" w:sz="4" w:space="0" w:color="auto"/>
              <w:bottom w:val="nil"/>
              <w:right w:val="single" w:sz="4" w:space="0" w:color="auto"/>
            </w:tcBorders>
            <w:hideMark/>
          </w:tcPr>
          <w:p w:rsidR="00DA0663" w:rsidRDefault="00DA0663">
            <w:pPr>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16 QAM</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6</w:t>
            </w:r>
            <w:r>
              <w:t>.5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en-US"/>
              </w:rPr>
            </w:pPr>
            <w:r>
              <w:t>≤ [</w:t>
            </w:r>
            <w:r>
              <w:rPr>
                <w:lang w:val="en-US"/>
              </w:rPr>
              <w:t>4.5]</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CA"/>
              </w:rPr>
              <w:t>2.5</w:t>
            </w:r>
          </w:p>
        </w:tc>
      </w:tr>
      <w:tr w:rsidR="00DA0663" w:rsidTr="00AF741B">
        <w:trPr>
          <w:jc w:val="center"/>
        </w:trPr>
        <w:tc>
          <w:tcPr>
            <w:tcW w:w="1413" w:type="dxa"/>
            <w:tcBorders>
              <w:top w:val="nil"/>
              <w:left w:val="single" w:sz="4" w:space="0" w:color="auto"/>
              <w:bottom w:val="nil"/>
              <w:right w:val="single" w:sz="4" w:space="0" w:color="auto"/>
            </w:tcBorders>
            <w:hideMark/>
          </w:tcPr>
          <w:p w:rsidR="00DA0663" w:rsidRDefault="00DA0663">
            <w:pPr>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64 QAM</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CA"/>
              </w:rPr>
              <w:t>6.5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en-US"/>
              </w:rPr>
            </w:pPr>
            <w:r>
              <w:t>≤ [</w:t>
            </w:r>
            <w:r>
              <w:rPr>
                <w:lang w:val="en-US"/>
              </w:rPr>
              <w:t>5]</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w:t>
            </w:r>
            <w:r>
              <w:rPr>
                <w:lang w:val="en-CA"/>
              </w:rPr>
              <w:t xml:space="preserve"> 4.5</w:t>
            </w:r>
          </w:p>
        </w:tc>
      </w:tr>
      <w:tr w:rsidR="00DA0663" w:rsidTr="00AF741B">
        <w:trPr>
          <w:jc w:val="center"/>
        </w:trPr>
        <w:tc>
          <w:tcPr>
            <w:tcW w:w="1413" w:type="dxa"/>
            <w:tcBorders>
              <w:top w:val="nil"/>
              <w:left w:val="single" w:sz="4" w:space="0" w:color="auto"/>
              <w:bottom w:val="single" w:sz="4" w:space="0" w:color="auto"/>
              <w:right w:val="single" w:sz="4" w:space="0" w:color="auto"/>
            </w:tcBorders>
            <w:hideMark/>
          </w:tcPr>
          <w:p w:rsidR="00DA0663" w:rsidRDefault="00DA0663">
            <w:pPr>
              <w:rPr>
                <w:lang w:val="x-none"/>
              </w:rPr>
            </w:pPr>
          </w:p>
        </w:tc>
        <w:tc>
          <w:tcPr>
            <w:tcW w:w="1134" w:type="dxa"/>
            <w:tcBorders>
              <w:top w:val="single" w:sz="4" w:space="0" w:color="auto"/>
              <w:left w:val="single" w:sz="4" w:space="0" w:color="auto"/>
              <w:bottom w:val="single" w:sz="4" w:space="0" w:color="auto"/>
              <w:right w:val="single" w:sz="4" w:space="0" w:color="auto"/>
            </w:tcBorders>
            <w:hideMark/>
          </w:tcPr>
          <w:p w:rsidR="00DA0663" w:rsidRDefault="00DA0663">
            <w:pPr>
              <w:pStyle w:val="TAC"/>
            </w:pPr>
            <w:r>
              <w:t>256 QAM</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CA"/>
              </w:rPr>
              <w:t>8.5</w:t>
            </w:r>
          </w:p>
        </w:tc>
        <w:tc>
          <w:tcPr>
            <w:tcW w:w="2126"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 xml:space="preserve">≤ </w:t>
            </w:r>
            <w:r>
              <w:rPr>
                <w:lang w:val="en-US"/>
              </w:rPr>
              <w:t>8.5</w:t>
            </w:r>
          </w:p>
        </w:tc>
        <w:tc>
          <w:tcPr>
            <w:tcW w:w="1990" w:type="dxa"/>
            <w:tcBorders>
              <w:top w:val="single" w:sz="4" w:space="0" w:color="auto"/>
              <w:left w:val="single" w:sz="4" w:space="0" w:color="auto"/>
              <w:bottom w:val="single" w:sz="4" w:space="0" w:color="auto"/>
              <w:right w:val="single" w:sz="4" w:space="0" w:color="auto"/>
            </w:tcBorders>
            <w:hideMark/>
          </w:tcPr>
          <w:p w:rsidR="00DA0663" w:rsidRDefault="00DA0663">
            <w:pPr>
              <w:pStyle w:val="TAC"/>
              <w:rPr>
                <w:lang w:val="x-none"/>
              </w:rPr>
            </w:pPr>
            <w:r>
              <w:t>≤</w:t>
            </w:r>
            <w:r>
              <w:rPr>
                <w:lang w:val="en-CA"/>
              </w:rPr>
              <w:t xml:space="preserve"> [8.5]</w:t>
            </w:r>
          </w:p>
        </w:tc>
      </w:tr>
    </w:tbl>
    <w:p w:rsidR="00113FF5" w:rsidRPr="00AF741B" w:rsidRDefault="00113FF5" w:rsidP="00AF741B">
      <w:pPr>
        <w:pStyle w:val="TH"/>
        <w:spacing w:before="120" w:after="120"/>
        <w:ind w:left="936"/>
        <w:rPr>
          <w:lang w:val="en-US"/>
        </w:rPr>
      </w:pPr>
      <w:r w:rsidRPr="00AF741B">
        <w:rPr>
          <w:lang w:val="en-US"/>
        </w:rPr>
        <w:t xml:space="preserve">Table </w:t>
      </w:r>
      <w:r w:rsidR="00AF741B">
        <w:rPr>
          <w:lang w:val="en-US"/>
        </w:rPr>
        <w:t>2:</w:t>
      </w:r>
      <w:r w:rsidRPr="00AF741B">
        <w:rPr>
          <w:lang w:val="en-US"/>
        </w:rPr>
        <w:t xml:space="preserve"> Proposed MPR for PC1.5 with quadruple Tx (Antenna Isolation = 10dB)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54"/>
        <w:gridCol w:w="2098"/>
        <w:gridCol w:w="2161"/>
        <w:gridCol w:w="1996"/>
      </w:tblGrid>
      <w:tr w:rsidR="00113FF5" w:rsidTr="00045809">
        <w:trPr>
          <w:jc w:val="center"/>
        </w:trPr>
        <w:tc>
          <w:tcPr>
            <w:tcW w:w="2596" w:type="dxa"/>
            <w:gridSpan w:val="2"/>
            <w:tcBorders>
              <w:top w:val="single" w:sz="4" w:space="0" w:color="auto"/>
              <w:left w:val="single" w:sz="4" w:space="0" w:color="auto"/>
              <w:bottom w:val="nil"/>
              <w:right w:val="single" w:sz="4" w:space="0" w:color="auto"/>
            </w:tcBorders>
          </w:tcPr>
          <w:p w:rsidR="00113FF5" w:rsidRDefault="00113FF5" w:rsidP="00045809">
            <w:pPr>
              <w:pStyle w:val="TAH"/>
              <w:rPr>
                <w:sz w:val="16"/>
              </w:rPr>
            </w:pPr>
            <w:r>
              <w:rPr>
                <w:sz w:val="16"/>
              </w:rPr>
              <w:t>Modulation</w:t>
            </w:r>
          </w:p>
        </w:tc>
        <w:tc>
          <w:tcPr>
            <w:tcW w:w="6255" w:type="dxa"/>
            <w:gridSpan w:val="3"/>
            <w:tcBorders>
              <w:top w:val="single" w:sz="4" w:space="0" w:color="auto"/>
              <w:left w:val="single" w:sz="4" w:space="0" w:color="auto"/>
              <w:bottom w:val="single" w:sz="4" w:space="0" w:color="auto"/>
              <w:right w:val="single" w:sz="4" w:space="0" w:color="auto"/>
            </w:tcBorders>
          </w:tcPr>
          <w:p w:rsidR="00113FF5" w:rsidRDefault="00113FF5" w:rsidP="00045809">
            <w:pPr>
              <w:pStyle w:val="TAH"/>
              <w:rPr>
                <w:sz w:val="16"/>
              </w:rPr>
            </w:pPr>
            <w:r>
              <w:rPr>
                <w:sz w:val="16"/>
              </w:rPr>
              <w:t>MPR (dB)</w:t>
            </w:r>
          </w:p>
        </w:tc>
      </w:tr>
      <w:tr w:rsidR="00113FF5" w:rsidRPr="00AF741B" w:rsidTr="00045809">
        <w:trPr>
          <w:trHeight w:val="248"/>
          <w:jc w:val="center"/>
        </w:trPr>
        <w:tc>
          <w:tcPr>
            <w:tcW w:w="2596" w:type="dxa"/>
            <w:gridSpan w:val="2"/>
            <w:tcBorders>
              <w:top w:val="nil"/>
              <w:left w:val="single" w:sz="4" w:space="0" w:color="auto"/>
              <w:bottom w:val="single" w:sz="4" w:space="0" w:color="auto"/>
              <w:right w:val="single" w:sz="4" w:space="0" w:color="auto"/>
            </w:tcBorders>
          </w:tcPr>
          <w:p w:rsidR="00113FF5" w:rsidRPr="00AF741B" w:rsidRDefault="00113FF5" w:rsidP="0004580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H"/>
            </w:pPr>
            <w:r w:rsidRPr="00AF741B">
              <w:t>Edge RB allocations</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H"/>
            </w:pPr>
            <w:r w:rsidRPr="00AF741B">
              <w:t>Outer RB allocations</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H"/>
            </w:pPr>
            <w:r w:rsidRPr="00AF741B">
              <w:t>Inner RB allocations</w:t>
            </w:r>
          </w:p>
        </w:tc>
      </w:tr>
      <w:tr w:rsidR="00113FF5" w:rsidRPr="00AF741B" w:rsidTr="00045809">
        <w:trPr>
          <w:trHeight w:val="148"/>
          <w:jc w:val="center"/>
        </w:trPr>
        <w:tc>
          <w:tcPr>
            <w:tcW w:w="1442" w:type="dxa"/>
            <w:tcBorders>
              <w:top w:val="single" w:sz="4" w:space="0" w:color="auto"/>
              <w:left w:val="single" w:sz="4" w:space="0" w:color="auto"/>
              <w:bottom w:val="nil"/>
              <w:right w:val="single" w:sz="4" w:space="0" w:color="auto"/>
            </w:tcBorders>
          </w:tcPr>
          <w:p w:rsidR="00113FF5" w:rsidRPr="00AF741B" w:rsidRDefault="00113FF5" w:rsidP="00045809">
            <w:pPr>
              <w:pStyle w:val="TAC"/>
            </w:pPr>
            <w:r w:rsidRPr="00AF741B">
              <w:t>DFT-s-OFDM</w:t>
            </w: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Pi/2 BPSK</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3.0</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2.0</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QPSK</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8.5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3.5</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2.0</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16 QAM</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8.5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4.0</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2.5</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64 QAM</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8.5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4.7</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4.5</w:t>
            </w:r>
          </w:p>
        </w:tc>
      </w:tr>
      <w:tr w:rsidR="00113FF5" w:rsidRPr="00AF741B" w:rsidTr="00045809">
        <w:trPr>
          <w:jc w:val="center"/>
        </w:trPr>
        <w:tc>
          <w:tcPr>
            <w:tcW w:w="1442" w:type="dxa"/>
            <w:tcBorders>
              <w:top w:val="nil"/>
              <w:left w:val="single" w:sz="4" w:space="0" w:color="auto"/>
              <w:bottom w:val="single" w:sz="4" w:space="0" w:color="auto"/>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256 QAM</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9.5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7.0</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7.0</w:t>
            </w:r>
          </w:p>
        </w:tc>
      </w:tr>
      <w:tr w:rsidR="00113FF5" w:rsidRPr="00AF741B" w:rsidTr="00045809">
        <w:trPr>
          <w:jc w:val="center"/>
        </w:trPr>
        <w:tc>
          <w:tcPr>
            <w:tcW w:w="1442" w:type="dxa"/>
            <w:tcBorders>
              <w:top w:val="single" w:sz="4" w:space="0" w:color="auto"/>
              <w:left w:val="single" w:sz="4" w:space="0" w:color="auto"/>
              <w:bottom w:val="nil"/>
              <w:right w:val="single" w:sz="4" w:space="0" w:color="auto"/>
            </w:tcBorders>
          </w:tcPr>
          <w:p w:rsidR="00113FF5" w:rsidRPr="00AF741B" w:rsidRDefault="00113FF5" w:rsidP="00045809">
            <w:pPr>
              <w:pStyle w:val="TAC"/>
            </w:pPr>
            <w:r w:rsidRPr="00AF741B">
              <w:t>CP-OFDM</w:t>
            </w: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QPSK</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9.5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5.0</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w:t>
            </w:r>
            <w:r w:rsidRPr="00AF741B">
              <w:rPr>
                <w:lang w:val="en-CA"/>
              </w:rPr>
              <w:t xml:space="preserve"> 3.5</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16 QAM</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9.5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5.0</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4.0</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64 QAM</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9</w:t>
            </w:r>
            <w:r w:rsidRPr="00AF741B">
              <w:rPr>
                <w:lang w:val="en-CA"/>
              </w:rPr>
              <w:t>.5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7.0</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w:t>
            </w:r>
            <w:r w:rsidRPr="00AF741B">
              <w:rPr>
                <w:lang w:val="en-CA"/>
              </w:rPr>
              <w:t xml:space="preserve"> 7.0</w:t>
            </w:r>
          </w:p>
        </w:tc>
      </w:tr>
      <w:tr w:rsidR="00113FF5" w:rsidRPr="00AF741B" w:rsidTr="00045809">
        <w:trPr>
          <w:jc w:val="center"/>
        </w:trPr>
        <w:tc>
          <w:tcPr>
            <w:tcW w:w="1442" w:type="dxa"/>
            <w:tcBorders>
              <w:top w:val="nil"/>
              <w:left w:val="single" w:sz="4" w:space="0" w:color="auto"/>
              <w:bottom w:val="single" w:sz="4" w:space="0" w:color="auto"/>
              <w:right w:val="single" w:sz="4" w:space="0" w:color="auto"/>
            </w:tcBorders>
          </w:tcPr>
          <w:p w:rsidR="00113FF5" w:rsidRPr="00AF741B" w:rsidRDefault="00113FF5" w:rsidP="0004580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256 QAM</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9</w:t>
            </w:r>
            <w:r w:rsidRPr="00AF741B">
              <w:rPr>
                <w:lang w:val="en-CA"/>
              </w:rPr>
              <w:t>.5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9.5</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w:t>
            </w:r>
            <w:r w:rsidRPr="00AF741B">
              <w:rPr>
                <w:lang w:val="en-CA"/>
              </w:rPr>
              <w:t xml:space="preserve"> 9.5</w:t>
            </w:r>
          </w:p>
        </w:tc>
      </w:tr>
    </w:tbl>
    <w:p w:rsidR="00113FF5" w:rsidRPr="00AF741B" w:rsidRDefault="00113FF5" w:rsidP="00AF741B">
      <w:pPr>
        <w:pStyle w:val="TH"/>
        <w:spacing w:before="120" w:after="120"/>
        <w:ind w:left="936"/>
        <w:rPr>
          <w:lang w:val="en-US"/>
        </w:rPr>
      </w:pPr>
      <w:r w:rsidRPr="00AF741B">
        <w:rPr>
          <w:lang w:val="en-US"/>
        </w:rPr>
        <w:t xml:space="preserve">Table </w:t>
      </w:r>
      <w:r w:rsidR="00AF741B">
        <w:rPr>
          <w:lang w:val="en-US"/>
        </w:rPr>
        <w:t>3:</w:t>
      </w:r>
      <w:r w:rsidRPr="00AF741B">
        <w:rPr>
          <w:lang w:val="en-US"/>
        </w:rPr>
        <w:t xml:space="preserve"> Proposed MPR for PC1.5 with quadruple Tx (Antenna Isolation = 20dB)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54"/>
        <w:gridCol w:w="2098"/>
        <w:gridCol w:w="2161"/>
        <w:gridCol w:w="1996"/>
      </w:tblGrid>
      <w:tr w:rsidR="00113FF5" w:rsidRPr="00AF741B" w:rsidTr="00045809">
        <w:trPr>
          <w:jc w:val="center"/>
        </w:trPr>
        <w:tc>
          <w:tcPr>
            <w:tcW w:w="2596" w:type="dxa"/>
            <w:gridSpan w:val="2"/>
            <w:tcBorders>
              <w:top w:val="single" w:sz="4" w:space="0" w:color="auto"/>
              <w:left w:val="single" w:sz="4" w:space="0" w:color="auto"/>
              <w:bottom w:val="nil"/>
              <w:right w:val="single" w:sz="4" w:space="0" w:color="auto"/>
            </w:tcBorders>
          </w:tcPr>
          <w:p w:rsidR="00113FF5" w:rsidRPr="00AF741B" w:rsidRDefault="00113FF5" w:rsidP="00045809">
            <w:pPr>
              <w:pStyle w:val="TAH"/>
            </w:pPr>
            <w:r w:rsidRPr="00AF741B">
              <w:t>Modulation</w:t>
            </w:r>
          </w:p>
        </w:tc>
        <w:tc>
          <w:tcPr>
            <w:tcW w:w="6255" w:type="dxa"/>
            <w:gridSpan w:val="3"/>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H"/>
            </w:pPr>
            <w:r w:rsidRPr="00AF741B">
              <w:t>MPR (dB)</w:t>
            </w:r>
          </w:p>
        </w:tc>
      </w:tr>
      <w:tr w:rsidR="00113FF5" w:rsidRPr="00AF741B" w:rsidTr="00045809">
        <w:trPr>
          <w:trHeight w:val="248"/>
          <w:jc w:val="center"/>
        </w:trPr>
        <w:tc>
          <w:tcPr>
            <w:tcW w:w="2596" w:type="dxa"/>
            <w:gridSpan w:val="2"/>
            <w:tcBorders>
              <w:top w:val="nil"/>
              <w:left w:val="single" w:sz="4" w:space="0" w:color="auto"/>
              <w:bottom w:val="single" w:sz="4" w:space="0" w:color="auto"/>
              <w:right w:val="single" w:sz="4" w:space="0" w:color="auto"/>
            </w:tcBorders>
          </w:tcPr>
          <w:p w:rsidR="00113FF5" w:rsidRPr="00AF741B" w:rsidRDefault="00113FF5" w:rsidP="0004580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H"/>
            </w:pPr>
            <w:r w:rsidRPr="00AF741B">
              <w:t>Edge RB allocations</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H"/>
            </w:pPr>
            <w:r w:rsidRPr="00AF741B">
              <w:t>Outer RB allocations</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H"/>
            </w:pPr>
            <w:r w:rsidRPr="00AF741B">
              <w:t>Inner RB allocations</w:t>
            </w:r>
          </w:p>
        </w:tc>
      </w:tr>
      <w:tr w:rsidR="00113FF5" w:rsidRPr="00AF741B" w:rsidTr="00045809">
        <w:trPr>
          <w:jc w:val="center"/>
        </w:trPr>
        <w:tc>
          <w:tcPr>
            <w:tcW w:w="1442" w:type="dxa"/>
            <w:tcBorders>
              <w:top w:val="single" w:sz="4" w:space="0" w:color="auto"/>
              <w:left w:val="single" w:sz="4" w:space="0" w:color="auto"/>
              <w:bottom w:val="nil"/>
              <w:right w:val="single" w:sz="4" w:space="0" w:color="auto"/>
            </w:tcBorders>
          </w:tcPr>
          <w:p w:rsidR="00113FF5" w:rsidRPr="00AF741B" w:rsidRDefault="00113FF5" w:rsidP="00045809">
            <w:pPr>
              <w:pStyle w:val="TAC"/>
            </w:pPr>
            <w:r w:rsidRPr="00AF741B">
              <w:t>DFT-s-OFDM</w:t>
            </w: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Pi/2 BPSK</w:t>
            </w:r>
          </w:p>
        </w:tc>
        <w:tc>
          <w:tcPr>
            <w:tcW w:w="2098"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7.5</w:t>
            </w:r>
          </w:p>
        </w:tc>
        <w:tc>
          <w:tcPr>
            <w:tcW w:w="2161"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1.5</w:t>
            </w:r>
          </w:p>
        </w:tc>
        <w:tc>
          <w:tcPr>
            <w:tcW w:w="1996"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 0.5</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QPSK</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xml:space="preserve">≤ </w:t>
            </w:r>
            <w:r w:rsidRPr="00AF741B">
              <w:rPr>
                <w:rFonts w:hint="eastAsia"/>
              </w:rPr>
              <w:t>2.0</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0.5</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16 QAM</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w:t>
            </w:r>
            <w:r w:rsidRPr="00AF741B">
              <w:rPr>
                <w:rFonts w:hint="eastAsia"/>
              </w:rPr>
              <w:t>.</w:t>
            </w:r>
            <w:r w:rsidRPr="00AF741B">
              <w:t>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2.5</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xml:space="preserve">≤ </w:t>
            </w:r>
            <w:r w:rsidRPr="00AF741B">
              <w:rPr>
                <w:rFonts w:hint="eastAsia"/>
              </w:rPr>
              <w:t>1.5</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64 QAM</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3.0</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xml:space="preserve">≤ </w:t>
            </w:r>
            <w:r w:rsidRPr="00AF741B">
              <w:rPr>
                <w:rFonts w:hint="eastAsia"/>
              </w:rPr>
              <w:t>3.0</w:t>
            </w:r>
          </w:p>
        </w:tc>
      </w:tr>
      <w:tr w:rsidR="00113FF5" w:rsidRPr="00AF741B" w:rsidTr="00045809">
        <w:trPr>
          <w:jc w:val="center"/>
        </w:trPr>
        <w:tc>
          <w:tcPr>
            <w:tcW w:w="1442" w:type="dxa"/>
            <w:tcBorders>
              <w:top w:val="nil"/>
              <w:left w:val="single" w:sz="4" w:space="0" w:color="auto"/>
              <w:bottom w:val="single" w:sz="4" w:space="0" w:color="auto"/>
              <w:right w:val="single" w:sz="4" w:space="0" w:color="auto"/>
            </w:tcBorders>
          </w:tcPr>
          <w:p w:rsidR="00113FF5" w:rsidRPr="00AF741B" w:rsidRDefault="00113FF5" w:rsidP="00045809">
            <w:pPr>
              <w:pStyle w:val="TAC"/>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256 QAM</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xml:space="preserve">≤ </w:t>
            </w:r>
            <w:r w:rsidRPr="00AF741B">
              <w:rPr>
                <w:rFonts w:hint="eastAsia"/>
              </w:rPr>
              <w:t>6.0</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xml:space="preserve">≤ </w:t>
            </w:r>
            <w:r w:rsidRPr="00AF741B">
              <w:rPr>
                <w:rFonts w:hint="eastAsia"/>
              </w:rPr>
              <w:t>6.0</w:t>
            </w:r>
          </w:p>
        </w:tc>
      </w:tr>
      <w:tr w:rsidR="00113FF5" w:rsidRPr="00AF741B" w:rsidTr="00045809">
        <w:trPr>
          <w:jc w:val="center"/>
        </w:trPr>
        <w:tc>
          <w:tcPr>
            <w:tcW w:w="1442" w:type="dxa"/>
            <w:tcBorders>
              <w:top w:val="single" w:sz="4" w:space="0" w:color="auto"/>
              <w:left w:val="single" w:sz="4" w:space="0" w:color="auto"/>
              <w:bottom w:val="nil"/>
              <w:right w:val="single" w:sz="4" w:space="0" w:color="auto"/>
            </w:tcBorders>
          </w:tcPr>
          <w:p w:rsidR="00113FF5" w:rsidRPr="00AF741B" w:rsidRDefault="00113FF5" w:rsidP="00045809">
            <w:pPr>
              <w:pStyle w:val="TAC"/>
            </w:pPr>
            <w:r w:rsidRPr="00AF741B">
              <w:t>CP-OFDM</w:t>
            </w: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QPSK</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3.5</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2.0</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16 QAM</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3.5</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2.5</w:t>
            </w:r>
          </w:p>
        </w:tc>
      </w:tr>
      <w:tr w:rsidR="00113FF5" w:rsidRPr="00AF741B" w:rsidTr="00045809">
        <w:trPr>
          <w:jc w:val="center"/>
        </w:trPr>
        <w:tc>
          <w:tcPr>
            <w:tcW w:w="1442" w:type="dxa"/>
            <w:tcBorders>
              <w:top w:val="nil"/>
              <w:left w:val="single" w:sz="4" w:space="0" w:color="auto"/>
              <w:bottom w:val="nil"/>
              <w:right w:val="single" w:sz="4" w:space="0" w:color="auto"/>
            </w:tcBorders>
          </w:tcPr>
          <w:p w:rsidR="00113FF5" w:rsidRPr="00AF741B" w:rsidRDefault="00113FF5" w:rsidP="0004580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64 QAM</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5</w:t>
            </w:r>
            <w:r w:rsidRPr="00AF741B">
              <w:rPr>
                <w:rFonts w:hint="eastAsia"/>
              </w:rPr>
              <w:t>.0</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xml:space="preserve">≤ </w:t>
            </w:r>
            <w:r w:rsidRPr="00AF741B">
              <w:rPr>
                <w:rFonts w:hint="eastAsia"/>
              </w:rPr>
              <w:t>5.0</w:t>
            </w:r>
          </w:p>
        </w:tc>
      </w:tr>
      <w:tr w:rsidR="00113FF5" w:rsidRPr="00AF741B" w:rsidTr="00045809">
        <w:trPr>
          <w:jc w:val="center"/>
        </w:trPr>
        <w:tc>
          <w:tcPr>
            <w:tcW w:w="1442" w:type="dxa"/>
            <w:tcBorders>
              <w:top w:val="nil"/>
              <w:left w:val="single" w:sz="4" w:space="0" w:color="auto"/>
              <w:bottom w:val="single" w:sz="4" w:space="0" w:color="auto"/>
              <w:right w:val="single" w:sz="4" w:space="0" w:color="auto"/>
            </w:tcBorders>
          </w:tcPr>
          <w:p w:rsidR="00113FF5" w:rsidRPr="00AF741B" w:rsidRDefault="00113FF5" w:rsidP="0004580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13FF5" w:rsidRPr="00AF741B" w:rsidRDefault="00113FF5" w:rsidP="00045809">
            <w:pPr>
              <w:pStyle w:val="TAC"/>
            </w:pPr>
            <w:r w:rsidRPr="00AF741B">
              <w:t>256 QAM</w:t>
            </w:r>
          </w:p>
        </w:tc>
        <w:tc>
          <w:tcPr>
            <w:tcW w:w="2098"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2161"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c>
          <w:tcPr>
            <w:tcW w:w="1996" w:type="dxa"/>
            <w:tcBorders>
              <w:top w:val="single" w:sz="4" w:space="0" w:color="auto"/>
              <w:left w:val="single" w:sz="4" w:space="0" w:color="auto"/>
              <w:bottom w:val="single" w:sz="4" w:space="0" w:color="auto"/>
              <w:right w:val="single" w:sz="4" w:space="0" w:color="auto"/>
            </w:tcBorders>
            <w:vAlign w:val="center"/>
          </w:tcPr>
          <w:p w:rsidR="00113FF5" w:rsidRPr="00AF741B" w:rsidRDefault="00113FF5" w:rsidP="00045809">
            <w:pPr>
              <w:pStyle w:val="TAC"/>
            </w:pPr>
            <w:r w:rsidRPr="00AF741B">
              <w:t>≤ 8.0</w:t>
            </w:r>
          </w:p>
        </w:tc>
      </w:tr>
    </w:tbl>
    <w:p w:rsidR="00AF741B" w:rsidRDefault="00AF741B" w:rsidP="00DA0663">
      <w:pPr>
        <w:spacing w:beforeLines="50" w:before="120"/>
        <w:rPr>
          <w:lang w:val="en-US"/>
        </w:rPr>
      </w:pPr>
      <w:r>
        <w:rPr>
          <w:lang w:val="en-US"/>
        </w:rPr>
        <w:t xml:space="preserve">Table 1 is the current MPR requirement for PC1.5 with dual Tx in </w:t>
      </w:r>
      <w:r w:rsidRPr="00AF741B">
        <w:rPr>
          <w:lang w:val="en-US"/>
        </w:rPr>
        <w:t>Table 6.2D.2-2</w:t>
      </w:r>
      <w:r>
        <w:rPr>
          <w:lang w:val="en-US"/>
        </w:rPr>
        <w:t xml:space="preserve"> of existing spec. </w:t>
      </w:r>
    </w:p>
    <w:p w:rsidR="00DA0663" w:rsidRDefault="00DA0663" w:rsidP="00DA0663">
      <w:pPr>
        <w:spacing w:beforeLines="50" w:before="120"/>
      </w:pPr>
      <w:r>
        <w:rPr>
          <w:lang w:val="en-US"/>
        </w:rPr>
        <w:t xml:space="preserve">It is noted that one set of MPR is targeted to large FWA form factor with larger antenna isolation. Though it was agreed that </w:t>
      </w:r>
      <w:r>
        <w:t xml:space="preserve">for </w:t>
      </w:r>
      <w:bookmarkStart w:id="3" w:name="_Hlk115085217"/>
      <w:r>
        <w:t>4Tx MPR requirement, the high antenna isolation compared to handheld UE is assumed for CPE and FWA device</w:t>
      </w:r>
      <w:bookmarkEnd w:id="3"/>
      <w:r>
        <w:t xml:space="preserve">, we doubt the antenna isolation could be the same as that for 2Tx CPE/FWA UE for 4Tx UE even it could still be better than a handheld UE. According the previous experience in defining the multi-Tx MPR requirements, as RIMD would definitely to have impact on the requirement, it is expected that the MPR for 4Tx could be worse than 2Tx. </w:t>
      </w:r>
    </w:p>
    <w:p w:rsidR="009F5E98" w:rsidRPr="009F5E98" w:rsidRDefault="009F5E98" w:rsidP="00DA0663">
      <w:pPr>
        <w:spacing w:beforeLines="50" w:before="120"/>
        <w:rPr>
          <w:rFonts w:eastAsia="等线"/>
        </w:rPr>
      </w:pPr>
      <w:r>
        <w:t>T</w:t>
      </w:r>
      <w:r>
        <w:rPr>
          <w:rFonts w:hint="eastAsia"/>
        </w:rPr>
        <w:t>he</w:t>
      </w:r>
      <w:r>
        <w:t xml:space="preserve"> MPR requirement is also related to the other unsolved issue, i.e. whether one set of requirements should be defined for </w:t>
      </w:r>
      <w:r w:rsidRPr="00A44E0A">
        <w:rPr>
          <w:rFonts w:eastAsia="等线"/>
        </w:rPr>
        <w:t>CPE/FWA/vehicle/industrial devices</w:t>
      </w:r>
      <w:r>
        <w:rPr>
          <w:rFonts w:eastAsia="等线"/>
        </w:rPr>
        <w:t xml:space="preserve">, or treat </w:t>
      </w:r>
      <w:r w:rsidRPr="00A44E0A">
        <w:rPr>
          <w:rFonts w:eastAsia="等线"/>
        </w:rPr>
        <w:t xml:space="preserve">Vehicular UE </w:t>
      </w:r>
      <w:r>
        <w:rPr>
          <w:rFonts w:eastAsia="等线"/>
        </w:rPr>
        <w:t xml:space="preserve">separately according to the previous agreement that it </w:t>
      </w:r>
      <w:r w:rsidRPr="00A44E0A">
        <w:rPr>
          <w:rFonts w:eastAsia="等线"/>
        </w:rPr>
        <w:t>has same antenna isolation as handheld UE</w:t>
      </w:r>
      <w:r>
        <w:rPr>
          <w:rFonts w:eastAsia="等线"/>
        </w:rPr>
        <w:t xml:space="preserve">. We prefer to have one set of RF requirements for all these UE types supporting 4Rx, and would like to seek some </w:t>
      </w:r>
      <w:proofErr w:type="spellStart"/>
      <w:r>
        <w:rPr>
          <w:rFonts w:eastAsia="等线"/>
        </w:rPr>
        <w:t>tradeoff</w:t>
      </w:r>
      <w:proofErr w:type="spellEnd"/>
      <w:r>
        <w:rPr>
          <w:rFonts w:eastAsia="等线"/>
        </w:rPr>
        <w:t xml:space="preserve"> among all the proposed values.</w:t>
      </w:r>
      <w:r>
        <w:rPr>
          <w:rFonts w:eastAsia="等线" w:hint="eastAsia"/>
        </w:rPr>
        <w:t xml:space="preserve"> </w:t>
      </w:r>
    </w:p>
    <w:p w:rsidR="00DA0663" w:rsidRDefault="00DA0663" w:rsidP="00DA0663">
      <w:pPr>
        <w:spacing w:beforeLines="50" w:before="120"/>
        <w:rPr>
          <w:lang w:val="en-US"/>
        </w:rPr>
      </w:pPr>
      <w:r>
        <w:rPr>
          <w:b/>
          <w:i/>
        </w:rPr>
        <w:lastRenderedPageBreak/>
        <w:t>Proposal 3: It is proposed to</w:t>
      </w:r>
      <w:r w:rsidR="009F5E98">
        <w:rPr>
          <w:b/>
          <w:i/>
        </w:rPr>
        <w:t xml:space="preserve"> have one set of MPR requirements for </w:t>
      </w:r>
      <w:r w:rsidR="009F5E98" w:rsidRPr="009F5E98">
        <w:rPr>
          <w:b/>
          <w:i/>
        </w:rPr>
        <w:t>CPE/FWA/vehicle/industrial devices</w:t>
      </w:r>
      <w:r>
        <w:rPr>
          <w:b/>
          <w:i/>
        </w:rPr>
        <w:t>.</w:t>
      </w:r>
      <w:r w:rsidR="009F5E98">
        <w:rPr>
          <w:b/>
          <w:i/>
        </w:rPr>
        <w:t xml:space="preserve"> Values in-between of the available proposals could be considered after further evaluation.</w:t>
      </w:r>
    </w:p>
    <w:p w:rsidR="00DA0663" w:rsidRDefault="00DA0663" w:rsidP="00DA0663">
      <w:pPr>
        <w:rPr>
          <w:lang w:val="en-US"/>
        </w:rPr>
      </w:pPr>
    </w:p>
    <w:p w:rsidR="00DA0663" w:rsidRDefault="00DA0663" w:rsidP="00DA0663">
      <w:pPr>
        <w:pStyle w:val="2"/>
        <w:tabs>
          <w:tab w:val="num" w:pos="681"/>
        </w:tabs>
        <w:spacing w:beforeAutospacing="0" w:after="240"/>
        <w:rPr>
          <w:lang w:val="en-US"/>
        </w:rPr>
      </w:pPr>
      <w:r>
        <w:rPr>
          <w:rFonts w:eastAsiaTheme="minorEastAsia"/>
          <w:lang w:val="en-US" w:eastAsia="zh-CN"/>
        </w:rPr>
        <w:t>Overview of 4Tx requirements in phase 1</w:t>
      </w:r>
    </w:p>
    <w:p w:rsidR="00DA0663" w:rsidRDefault="00DA0663" w:rsidP="00DA0663">
      <w:pPr>
        <w:rPr>
          <w:lang w:val="en-US"/>
        </w:rPr>
      </w:pPr>
      <w:r>
        <w:rPr>
          <w:lang w:val="en-US"/>
        </w:rPr>
        <w:t xml:space="preserve">Apart from the aforementioned issues, to complete the 4Tx requirements in phase 1, the following aspects should be considered. </w:t>
      </w:r>
      <w:r w:rsidR="00DF1AD6">
        <w:rPr>
          <w:lang w:val="en-US"/>
        </w:rPr>
        <w:t>Update is the applicable RF requirements for the fallback power classes.</w:t>
      </w:r>
    </w:p>
    <w:p w:rsidR="00DA0663" w:rsidRDefault="00DA0663" w:rsidP="00DA0663">
      <w:pPr>
        <w:pStyle w:val="afff0"/>
        <w:numPr>
          <w:ilvl w:val="0"/>
          <w:numId w:val="46"/>
        </w:numPr>
        <w:ind w:firstLineChars="0"/>
        <w:rPr>
          <w:rFonts w:ascii="Times New Roman" w:hAnsi="Times New Roman"/>
          <w:sz w:val="20"/>
          <w:szCs w:val="20"/>
          <w:lang w:val="en-US"/>
        </w:rPr>
      </w:pPr>
      <w:r>
        <w:rPr>
          <w:rFonts w:ascii="Times New Roman" w:hAnsi="Times New Roman"/>
          <w:sz w:val="20"/>
          <w:szCs w:val="20"/>
          <w:lang w:val="en-US" w:eastAsia="zh-CN"/>
        </w:rPr>
        <w:t>The UL MIMO/</w:t>
      </w:r>
      <w:proofErr w:type="spellStart"/>
      <w:r>
        <w:rPr>
          <w:rFonts w:ascii="Times New Roman" w:hAnsi="Times New Roman"/>
          <w:sz w:val="20"/>
          <w:szCs w:val="20"/>
          <w:lang w:val="en-US" w:eastAsia="zh-CN"/>
        </w:rPr>
        <w:t>TxD</w:t>
      </w:r>
      <w:proofErr w:type="spellEnd"/>
      <w:r>
        <w:rPr>
          <w:rFonts w:ascii="Times New Roman" w:hAnsi="Times New Roman"/>
          <w:sz w:val="20"/>
          <w:szCs w:val="20"/>
          <w:lang w:val="en-US" w:eastAsia="zh-CN"/>
        </w:rPr>
        <w:t xml:space="preserve"> requirements in the specification are dual Tx based, which should be extended to 4Tx.</w:t>
      </w:r>
    </w:p>
    <w:p w:rsidR="00DA0663" w:rsidRDefault="00DA0663" w:rsidP="00DA0663">
      <w:pPr>
        <w:pStyle w:val="afff0"/>
        <w:numPr>
          <w:ilvl w:val="0"/>
          <w:numId w:val="46"/>
        </w:numPr>
        <w:ind w:firstLineChars="0"/>
        <w:rPr>
          <w:rFonts w:ascii="Times New Roman" w:hAnsi="Times New Roman"/>
          <w:sz w:val="20"/>
          <w:szCs w:val="20"/>
          <w:lang w:val="en-US"/>
        </w:rPr>
      </w:pPr>
      <w:r>
        <w:rPr>
          <w:rFonts w:ascii="Times New Roman" w:hAnsi="Times New Roman"/>
          <w:sz w:val="20"/>
          <w:szCs w:val="20"/>
          <w:lang w:val="en-US" w:eastAsia="zh-CN"/>
        </w:rPr>
        <w:t xml:space="preserve">New 4Tx requirements, e.g. 4Tx MPR/A-MPR, </w:t>
      </w:r>
      <w:proofErr w:type="gramStart"/>
      <w:r>
        <w:rPr>
          <w:rFonts w:ascii="Times New Roman" w:hAnsi="Times New Roman"/>
          <w:sz w:val="20"/>
          <w:szCs w:val="20"/>
          <w:lang w:val="en-US" w:eastAsia="zh-CN"/>
        </w:rPr>
        <w:t>4 layer</w:t>
      </w:r>
      <w:proofErr w:type="gramEnd"/>
      <w:r>
        <w:rPr>
          <w:rFonts w:ascii="Times New Roman" w:hAnsi="Times New Roman"/>
          <w:sz w:val="20"/>
          <w:szCs w:val="20"/>
          <w:lang w:val="en-US" w:eastAsia="zh-CN"/>
        </w:rPr>
        <w:t xml:space="preserve"> UL MIMO configurations, new </w:t>
      </w:r>
      <w:proofErr w:type="spellStart"/>
      <w:r>
        <w:rPr>
          <w:rFonts w:ascii="Times New Roman" w:hAnsi="Times New Roman"/>
          <w:sz w:val="20"/>
          <w:szCs w:val="20"/>
          <w:lang w:val="en-US" w:eastAsia="zh-CN"/>
        </w:rPr>
        <w:t>ULFPTx</w:t>
      </w:r>
      <w:proofErr w:type="spellEnd"/>
      <w:r>
        <w:rPr>
          <w:rFonts w:ascii="Times New Roman" w:hAnsi="Times New Roman"/>
          <w:sz w:val="20"/>
          <w:szCs w:val="20"/>
          <w:lang w:val="en-US" w:eastAsia="zh-CN"/>
        </w:rPr>
        <w:t xml:space="preserve"> mode 1 TPMIs, etc. should be added to the specification. </w:t>
      </w:r>
    </w:p>
    <w:p w:rsidR="00DA0663" w:rsidRDefault="00DA0663" w:rsidP="00DA0663">
      <w:pPr>
        <w:pStyle w:val="afff0"/>
        <w:numPr>
          <w:ilvl w:val="0"/>
          <w:numId w:val="46"/>
        </w:numPr>
        <w:ind w:firstLineChars="0"/>
        <w:rPr>
          <w:rFonts w:ascii="Times New Roman" w:hAnsi="Times New Roman"/>
          <w:sz w:val="20"/>
          <w:szCs w:val="20"/>
          <w:lang w:val="en-US"/>
        </w:rPr>
      </w:pPr>
      <w:r>
        <w:rPr>
          <w:rFonts w:ascii="Times New Roman" w:hAnsi="Times New Roman"/>
          <w:sz w:val="20"/>
          <w:szCs w:val="20"/>
          <w:lang w:val="en-US" w:eastAsia="zh-CN"/>
        </w:rPr>
        <w:t>Some spec limitations which are not applicable for 4Tx/4ports should be revised</w:t>
      </w:r>
    </w:p>
    <w:p w:rsidR="00DF1AD6" w:rsidRDefault="00DF1AD6" w:rsidP="00DA0663">
      <w:pPr>
        <w:pStyle w:val="afff0"/>
        <w:numPr>
          <w:ilvl w:val="0"/>
          <w:numId w:val="46"/>
        </w:numPr>
        <w:ind w:firstLineChars="0"/>
        <w:rPr>
          <w:rFonts w:ascii="Times New Roman" w:hAnsi="Times New Roman"/>
          <w:sz w:val="20"/>
          <w:szCs w:val="20"/>
          <w:lang w:val="en-US"/>
        </w:rPr>
      </w:pPr>
      <w:r>
        <w:rPr>
          <w:rFonts w:ascii="Times New Roman" w:hAnsi="Times New Roman"/>
          <w:sz w:val="20"/>
          <w:szCs w:val="20"/>
          <w:lang w:val="en-US" w:eastAsia="zh-CN"/>
        </w:rPr>
        <w:t>Requirements for the fallback power classes</w:t>
      </w:r>
      <w:r w:rsidR="004E258D">
        <w:rPr>
          <w:rFonts w:ascii="Times New Roman" w:hAnsi="Times New Roman"/>
          <w:sz w:val="20"/>
          <w:szCs w:val="20"/>
          <w:lang w:val="en-US" w:eastAsia="zh-CN"/>
        </w:rPr>
        <w:t xml:space="preserve"> due to UL </w:t>
      </w:r>
      <w:proofErr w:type="spellStart"/>
      <w:r w:rsidR="004E258D">
        <w:rPr>
          <w:rFonts w:ascii="Times New Roman" w:hAnsi="Times New Roman"/>
          <w:sz w:val="20"/>
          <w:szCs w:val="20"/>
          <w:lang w:val="en-US" w:eastAsia="zh-CN"/>
        </w:rPr>
        <w:t>dutycycle</w:t>
      </w:r>
      <w:proofErr w:type="spellEnd"/>
      <w:r w:rsidR="004E258D">
        <w:rPr>
          <w:rFonts w:ascii="Times New Roman" w:hAnsi="Times New Roman"/>
          <w:sz w:val="20"/>
          <w:szCs w:val="20"/>
          <w:lang w:val="en-US" w:eastAsia="zh-CN"/>
        </w:rPr>
        <w:t xml:space="preserve"> and </w:t>
      </w:r>
      <w:proofErr w:type="spellStart"/>
      <w:r w:rsidR="004E258D">
        <w:rPr>
          <w:rFonts w:ascii="Times New Roman" w:hAnsi="Times New Roman"/>
          <w:sz w:val="20"/>
          <w:szCs w:val="20"/>
          <w:lang w:val="en-US" w:eastAsia="zh-CN"/>
        </w:rPr>
        <w:t>Pmax</w:t>
      </w:r>
      <w:proofErr w:type="spellEnd"/>
    </w:p>
    <w:p w:rsidR="00DA0663" w:rsidRDefault="00DA0663" w:rsidP="00DA0663">
      <w:pPr>
        <w:rPr>
          <w:lang w:val="en-US"/>
        </w:rPr>
      </w:pPr>
    </w:p>
    <w:p w:rsidR="00DA0663" w:rsidRDefault="00DA0663" w:rsidP="00DA0663">
      <w:pPr>
        <w:rPr>
          <w:lang w:val="en-US"/>
        </w:rPr>
      </w:pPr>
      <w:r>
        <w:rPr>
          <w:lang w:val="en-US"/>
        </w:rPr>
        <w:t>The table below lists the affected clauses in the spec to enable 4Tx in phase 1.</w:t>
      </w:r>
    </w:p>
    <w:p w:rsidR="00DA0663" w:rsidRDefault="00DA0663" w:rsidP="00DA0663">
      <w:pPr>
        <w:spacing w:afterLines="50" w:after="120"/>
        <w:jc w:val="center"/>
        <w:rPr>
          <w:rFonts w:ascii="Arial" w:hAnsi="Arial" w:cs="Arial"/>
          <w:b/>
          <w:lang w:val="en-US"/>
        </w:rPr>
      </w:pPr>
      <w:r>
        <w:rPr>
          <w:rFonts w:ascii="Arial" w:hAnsi="Arial" w:cs="Arial"/>
          <w:b/>
          <w:lang w:val="en-US"/>
        </w:rPr>
        <w:t>Table 1: 4Tx requirements for phase 1</w:t>
      </w:r>
    </w:p>
    <w:tbl>
      <w:tblPr>
        <w:tblStyle w:val="aff"/>
        <w:tblW w:w="0" w:type="auto"/>
        <w:tblLook w:val="04A0" w:firstRow="1" w:lastRow="0" w:firstColumn="1" w:lastColumn="0" w:noHBand="0" w:noVBand="1"/>
      </w:tblPr>
      <w:tblGrid>
        <w:gridCol w:w="3681"/>
        <w:gridCol w:w="5950"/>
      </w:tblGrid>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rPr>
                <w:b/>
              </w:rPr>
            </w:pPr>
            <w:r>
              <w:rPr>
                <w:b/>
              </w:rPr>
              <w:t>Clause</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rPr>
                <w:b/>
              </w:rPr>
            </w:pPr>
            <w:r>
              <w:rPr>
                <w:b/>
              </w:rPr>
              <w:t>Necessary changes in the spec</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6.1 General</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rPr>
                <w:rFonts w:eastAsia="Malgun Gothic"/>
              </w:rPr>
              <w:t>UL MIMO operation is extended to 4-port case</w:t>
            </w:r>
          </w:p>
        </w:tc>
      </w:tr>
      <w:tr w:rsidR="00744AF0" w:rsidTr="00DA0663">
        <w:tc>
          <w:tcPr>
            <w:tcW w:w="3681" w:type="dxa"/>
            <w:tcBorders>
              <w:top w:val="single" w:sz="4" w:space="0" w:color="auto"/>
              <w:left w:val="single" w:sz="4" w:space="0" w:color="auto"/>
              <w:bottom w:val="single" w:sz="4" w:space="0" w:color="auto"/>
              <w:right w:val="single" w:sz="4" w:space="0" w:color="auto"/>
            </w:tcBorders>
          </w:tcPr>
          <w:p w:rsidR="00744AF0" w:rsidRDefault="00691341">
            <w:pPr>
              <w:spacing w:after="0"/>
            </w:pPr>
            <w:r>
              <w:t>[</w:t>
            </w:r>
            <w:r w:rsidR="00744AF0">
              <w:t>6.2.1 UE maximum output power</w:t>
            </w:r>
            <w:r>
              <w:t>]</w:t>
            </w:r>
          </w:p>
        </w:tc>
        <w:tc>
          <w:tcPr>
            <w:tcW w:w="5950" w:type="dxa"/>
            <w:tcBorders>
              <w:top w:val="single" w:sz="4" w:space="0" w:color="auto"/>
              <w:left w:val="single" w:sz="4" w:space="0" w:color="auto"/>
              <w:bottom w:val="single" w:sz="4" w:space="0" w:color="auto"/>
              <w:right w:val="single" w:sz="4" w:space="0" w:color="auto"/>
            </w:tcBorders>
          </w:tcPr>
          <w:p w:rsidR="00744AF0" w:rsidRPr="00744AF0" w:rsidRDefault="00744AF0">
            <w:pPr>
              <w:spacing w:after="0"/>
              <w:rPr>
                <w:rFonts w:eastAsiaTheme="minorEastAsia"/>
              </w:rPr>
            </w:pPr>
            <w:r>
              <w:rPr>
                <w:rFonts w:eastAsiaTheme="minorEastAsia" w:hint="eastAsia"/>
              </w:rPr>
              <w:t>A</w:t>
            </w:r>
            <w:r>
              <w:rPr>
                <w:rFonts w:eastAsiaTheme="minorEastAsia"/>
              </w:rPr>
              <w:t xml:space="preserve">pplicable requirements for the </w:t>
            </w:r>
            <w:proofErr w:type="spellStart"/>
            <w:r>
              <w:rPr>
                <w:rFonts w:eastAsiaTheme="minorEastAsia"/>
              </w:rPr>
              <w:t>fallback</w:t>
            </w:r>
            <w:proofErr w:type="spellEnd"/>
            <w:r>
              <w:rPr>
                <w:rFonts w:eastAsiaTheme="minorEastAsia"/>
              </w:rPr>
              <w:t xml:space="preserve"> power classes </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6.2.2</w:t>
            </w:r>
            <w:r>
              <w:tab/>
              <w:t>UE maximum output power reduction</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Clarify the MPR for PC1.5 is for dual Tx</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4" w:name="_Toc84413527"/>
            <w:bookmarkStart w:id="5" w:name="_Toc84404918"/>
            <w:bookmarkStart w:id="6" w:name="_Toc83580409"/>
            <w:bookmarkStart w:id="7" w:name="_Toc76718099"/>
            <w:bookmarkStart w:id="8" w:name="_Toc76509109"/>
            <w:bookmarkStart w:id="9" w:name="_Toc75467087"/>
            <w:bookmarkStart w:id="10" w:name="_Toc69084078"/>
            <w:bookmarkStart w:id="11" w:name="_Toc68230665"/>
            <w:bookmarkStart w:id="12" w:name="_Toc61372724"/>
            <w:bookmarkStart w:id="13" w:name="_Toc61367341"/>
            <w:bookmarkStart w:id="14" w:name="_Toc45888699"/>
            <w:bookmarkStart w:id="15" w:name="_Toc45888100"/>
            <w:r>
              <w:t>6.2.4</w:t>
            </w:r>
            <w:r>
              <w:tab/>
              <w:t>Configured transmitted power</w:t>
            </w:r>
            <w:bookmarkEnd w:id="4"/>
            <w:bookmarkEnd w:id="5"/>
            <w:bookmarkEnd w:id="6"/>
            <w:bookmarkEnd w:id="7"/>
            <w:bookmarkEnd w:id="8"/>
            <w:bookmarkEnd w:id="9"/>
            <w:bookmarkEnd w:id="10"/>
            <w:bookmarkEnd w:id="11"/>
            <w:bookmarkEnd w:id="12"/>
            <w:bookmarkEnd w:id="13"/>
            <w:bookmarkEnd w:id="14"/>
            <w:bookmarkEnd w:id="15"/>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Clarify the MPR for PC1.5 is for dual Tx</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16" w:name="_Toc84413571"/>
            <w:bookmarkStart w:id="17" w:name="_Toc84404962"/>
            <w:bookmarkStart w:id="18" w:name="_Toc83580453"/>
            <w:bookmarkStart w:id="19" w:name="_Toc76718143"/>
            <w:bookmarkStart w:id="20" w:name="_Toc76509153"/>
            <w:bookmarkStart w:id="21" w:name="_Toc75467131"/>
            <w:bookmarkStart w:id="22" w:name="_Toc69084121"/>
            <w:bookmarkStart w:id="23" w:name="_Toc68230708"/>
            <w:bookmarkStart w:id="24" w:name="_Toc61372767"/>
            <w:bookmarkStart w:id="25" w:name="_Toc61367384"/>
            <w:bookmarkStart w:id="26" w:name="_Toc45888739"/>
            <w:bookmarkStart w:id="27" w:name="_Toc45888140"/>
            <w:bookmarkStart w:id="28" w:name="_Toc37251325"/>
            <w:bookmarkStart w:id="29" w:name="_Toc36107559"/>
            <w:bookmarkStart w:id="30" w:name="_Toc29802817"/>
            <w:bookmarkStart w:id="31" w:name="_Toc29802192"/>
            <w:bookmarkStart w:id="32" w:name="_Toc29801768"/>
            <w:bookmarkStart w:id="33" w:name="_Toc21344282"/>
            <w:r>
              <w:t>6.2D.1</w:t>
            </w:r>
            <w:r>
              <w:tab/>
              <w:t>UE maximum output power for UL MIMO</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1. Remove the restriction of sum output power from two transmit antenna connectors</w:t>
            </w:r>
          </w:p>
          <w:p w:rsidR="00DA0663" w:rsidRDefault="00DA0663">
            <w:pPr>
              <w:spacing w:after="0"/>
            </w:pPr>
            <w:r>
              <w:t xml:space="preserve">2. Introduce UL MIMO configuration for 4 </w:t>
            </w:r>
            <w:proofErr w:type="gramStart"/>
            <w:r>
              <w:t>layer</w:t>
            </w:r>
            <w:proofErr w:type="gramEnd"/>
          </w:p>
          <w:p w:rsidR="00DA0663" w:rsidRDefault="00DA0663">
            <w:pPr>
              <w:spacing w:after="0"/>
            </w:pPr>
            <w:r>
              <w:t xml:space="preserve">3. Update MIMO configuration for </w:t>
            </w:r>
            <w:proofErr w:type="spellStart"/>
            <w:r>
              <w:t>ULFPTx</w:t>
            </w:r>
            <w:proofErr w:type="spellEnd"/>
            <w:r>
              <w:t xml:space="preserve"> mode 1</w:t>
            </w:r>
          </w:p>
          <w:p w:rsidR="00DA0663" w:rsidRDefault="00DA0663">
            <w:pPr>
              <w:spacing w:after="0"/>
            </w:pPr>
            <w:r>
              <w:t xml:space="preserve">4. Clarify that requirements for feature </w:t>
            </w:r>
            <w:r>
              <w:rPr>
                <w:i/>
                <w:iCs/>
              </w:rPr>
              <w:t>ul-FullPwrMode-r16</w:t>
            </w:r>
            <w:r>
              <w:t xml:space="preserve"> or </w:t>
            </w:r>
            <w:r>
              <w:rPr>
                <w:i/>
                <w:iCs/>
              </w:rPr>
              <w:t>ul-FullPwrMode2-TPMIGroup-r16</w:t>
            </w:r>
            <w:r>
              <w:t xml:space="preserve"> are based on dual Tx. Phase 2 requirements are FFS</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6.2F.2D</w:t>
            </w:r>
            <w:r>
              <w:tab/>
              <w:t>UE maximum output power reduction for UL MIMO</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1. Clarify the MPR for PC1.5 is for dual Tx</w:t>
            </w:r>
          </w:p>
          <w:p w:rsidR="00DA0663" w:rsidRDefault="00DA0663">
            <w:pPr>
              <w:spacing w:after="0"/>
            </w:pPr>
            <w:r>
              <w:t>2. New MPR for PC1.5 with 4Tx</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6.2F.3D</w:t>
            </w:r>
            <w:r>
              <w:tab/>
              <w:t>UE additional maximum output power reduction for UL MIMO</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1. Remove the restriction of sum output power from two transmit antenna connectors</w:t>
            </w:r>
          </w:p>
          <w:p w:rsidR="00DA0663" w:rsidRDefault="00DA0663">
            <w:pPr>
              <w:spacing w:after="0"/>
            </w:pPr>
            <w:r>
              <w:t>2. Clarify the MPR for PC1.5 is for dual Tx</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34" w:name="_Toc84413610"/>
            <w:bookmarkStart w:id="35" w:name="_Toc84405001"/>
            <w:bookmarkStart w:id="36" w:name="_Toc83580492"/>
            <w:r>
              <w:rPr>
                <w:rFonts w:eastAsia="MS Mincho"/>
              </w:rPr>
              <w:t>6.2G.1</w:t>
            </w:r>
            <w:r>
              <w:rPr>
                <w:rFonts w:eastAsia="MS Mincho"/>
              </w:rPr>
              <w:tab/>
              <w:t>UE maximum output power for Tx Diversity</w:t>
            </w:r>
            <w:bookmarkEnd w:id="34"/>
            <w:bookmarkEnd w:id="35"/>
            <w:bookmarkEnd w:id="36"/>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Remove the restriction of sum output power from two transmit antenna connectors</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37" w:name="_Toc84413611"/>
            <w:bookmarkStart w:id="38" w:name="_Toc84405002"/>
            <w:bookmarkStart w:id="39" w:name="_Toc83580493"/>
            <w:r>
              <w:rPr>
                <w:rFonts w:eastAsia="MS Mincho"/>
              </w:rPr>
              <w:t>6.2G.2</w:t>
            </w:r>
            <w:r>
              <w:rPr>
                <w:rFonts w:eastAsia="MS Mincho"/>
              </w:rPr>
              <w:tab/>
              <w:t>UE maximum output power reduction for Tx Diversity</w:t>
            </w:r>
            <w:bookmarkEnd w:id="37"/>
            <w:bookmarkEnd w:id="38"/>
            <w:bookmarkEnd w:id="39"/>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1. Remove the restriction of sum output power from two transmit antenna connectors</w:t>
            </w:r>
          </w:p>
          <w:p w:rsidR="00DA0663" w:rsidRDefault="00DA0663">
            <w:pPr>
              <w:spacing w:after="0"/>
            </w:pPr>
            <w:r>
              <w:t>2. Clarify the MPR for PC1.5 is for dual Tx</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40" w:name="_Toc84413681"/>
            <w:bookmarkStart w:id="41" w:name="_Toc84405072"/>
            <w:bookmarkStart w:id="42" w:name="_Toc83580563"/>
            <w:bookmarkStart w:id="43" w:name="_Toc76718242"/>
            <w:bookmarkStart w:id="44" w:name="_Toc76509252"/>
            <w:bookmarkStart w:id="45" w:name="_Toc75467230"/>
            <w:bookmarkStart w:id="46" w:name="_Toc69084220"/>
            <w:bookmarkStart w:id="47" w:name="_Toc68230807"/>
            <w:bookmarkStart w:id="48" w:name="_Toc61372860"/>
            <w:bookmarkStart w:id="49" w:name="_Toc61367477"/>
            <w:bookmarkStart w:id="50" w:name="_Toc45888812"/>
            <w:bookmarkStart w:id="51" w:name="_Toc45888213"/>
            <w:bookmarkStart w:id="52" w:name="_Toc37251365"/>
            <w:bookmarkStart w:id="53" w:name="_Toc36107599"/>
            <w:bookmarkStart w:id="54" w:name="_Toc29802857"/>
            <w:bookmarkStart w:id="55" w:name="_Toc29802232"/>
            <w:bookmarkStart w:id="56" w:name="_Toc29801808"/>
            <w:bookmarkStart w:id="57" w:name="_Toc21344322"/>
            <w:r>
              <w:t>6.3D.1</w:t>
            </w:r>
            <w:r>
              <w:tab/>
              <w:t>Minimum output power for UL MIMO</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Remove the restriction of sum output power from two transmit antenna connectors</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58" w:name="_Toc84413684"/>
            <w:bookmarkStart w:id="59" w:name="_Toc84405075"/>
            <w:bookmarkStart w:id="60" w:name="_Toc83580566"/>
            <w:bookmarkStart w:id="61" w:name="_Toc76718245"/>
            <w:bookmarkStart w:id="62" w:name="_Toc76509255"/>
            <w:bookmarkStart w:id="63" w:name="_Toc75467233"/>
            <w:bookmarkStart w:id="64" w:name="_Toc69084223"/>
            <w:bookmarkStart w:id="65" w:name="_Toc68230810"/>
            <w:bookmarkStart w:id="66" w:name="_Toc61372863"/>
            <w:bookmarkStart w:id="67" w:name="_Toc61367480"/>
            <w:bookmarkStart w:id="68" w:name="_Toc45888815"/>
            <w:bookmarkStart w:id="69" w:name="_Toc45888216"/>
            <w:bookmarkStart w:id="70" w:name="_Toc37251368"/>
            <w:bookmarkStart w:id="71" w:name="_Toc36107602"/>
            <w:bookmarkStart w:id="72" w:name="_Toc29802860"/>
            <w:bookmarkStart w:id="73" w:name="_Toc29802235"/>
            <w:bookmarkStart w:id="74" w:name="_Toc29801811"/>
            <w:bookmarkStart w:id="75" w:name="_Toc21344325"/>
            <w:r>
              <w:t>6.3D.4</w:t>
            </w:r>
            <w:r>
              <w:tab/>
              <w:t>Power control for UL MIMO</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 xml:space="preserve">Same as above </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76" w:name="_Toc84413872"/>
            <w:bookmarkStart w:id="77" w:name="_Toc84405263"/>
            <w:bookmarkStart w:id="78" w:name="_Toc83580754"/>
            <w:bookmarkStart w:id="79" w:name="_Toc76718416"/>
            <w:bookmarkStart w:id="80" w:name="_Toc76509426"/>
            <w:bookmarkStart w:id="81" w:name="_Toc75467404"/>
            <w:bookmarkStart w:id="82" w:name="_Toc69084394"/>
            <w:bookmarkStart w:id="83" w:name="_Toc68230981"/>
            <w:bookmarkStart w:id="84" w:name="_Toc61373032"/>
            <w:bookmarkStart w:id="85" w:name="_Toc61367649"/>
            <w:bookmarkStart w:id="86" w:name="_Toc45888951"/>
            <w:bookmarkStart w:id="87" w:name="_Toc45888352"/>
            <w:bookmarkStart w:id="88" w:name="_Toc37251472"/>
            <w:bookmarkStart w:id="89" w:name="_Toc36107698"/>
            <w:bookmarkStart w:id="90" w:name="_Toc29802956"/>
            <w:bookmarkStart w:id="91" w:name="_Toc29802331"/>
            <w:bookmarkStart w:id="92" w:name="_Toc29801907"/>
            <w:bookmarkStart w:id="93" w:name="_Toc21344420"/>
            <w:r>
              <w:t>6.5D.1</w:t>
            </w:r>
            <w:r>
              <w:tab/>
              <w:t>Occupied bandwidth for UL MIMO</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94" w:name="_Toc84413873"/>
            <w:bookmarkStart w:id="95" w:name="_Toc84405264"/>
            <w:bookmarkStart w:id="96" w:name="_Toc83580755"/>
            <w:bookmarkStart w:id="97" w:name="_Toc76718417"/>
            <w:bookmarkStart w:id="98" w:name="_Toc76509427"/>
            <w:bookmarkStart w:id="99" w:name="_Toc75467405"/>
            <w:bookmarkStart w:id="100" w:name="_Toc69084395"/>
            <w:bookmarkStart w:id="101" w:name="_Toc68230982"/>
            <w:bookmarkStart w:id="102" w:name="_Toc61373033"/>
            <w:bookmarkStart w:id="103" w:name="_Toc61367650"/>
            <w:bookmarkStart w:id="104" w:name="_Toc45888952"/>
            <w:bookmarkStart w:id="105" w:name="_Toc45888353"/>
            <w:bookmarkStart w:id="106" w:name="_Toc37251473"/>
            <w:bookmarkStart w:id="107" w:name="_Toc36107699"/>
            <w:bookmarkStart w:id="108" w:name="_Toc29802957"/>
            <w:bookmarkStart w:id="109" w:name="_Toc29802332"/>
            <w:bookmarkStart w:id="110" w:name="_Toc29801908"/>
            <w:bookmarkStart w:id="111" w:name="_Toc21344421"/>
            <w:r>
              <w:t>6.5D.2</w:t>
            </w:r>
            <w:r>
              <w:tab/>
              <w:t>Out of band emission for UL MIMO</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112" w:name="_Toc84413874"/>
            <w:bookmarkStart w:id="113" w:name="_Toc84405265"/>
            <w:bookmarkStart w:id="114" w:name="_Toc83580756"/>
            <w:bookmarkStart w:id="115" w:name="_Toc76718418"/>
            <w:bookmarkStart w:id="116" w:name="_Toc76509428"/>
            <w:bookmarkStart w:id="117" w:name="_Toc75467406"/>
            <w:bookmarkStart w:id="118" w:name="_Toc69084396"/>
            <w:bookmarkStart w:id="119" w:name="_Toc68230983"/>
            <w:bookmarkStart w:id="120" w:name="_Toc61373034"/>
            <w:bookmarkStart w:id="121" w:name="_Toc61367651"/>
            <w:bookmarkStart w:id="122" w:name="_Toc45888953"/>
            <w:bookmarkStart w:id="123" w:name="_Toc45888354"/>
            <w:bookmarkStart w:id="124" w:name="_Toc37251474"/>
            <w:bookmarkStart w:id="125" w:name="_Toc36107700"/>
            <w:bookmarkStart w:id="126" w:name="_Toc29802958"/>
            <w:bookmarkStart w:id="127" w:name="_Toc29802333"/>
            <w:bookmarkStart w:id="128" w:name="_Toc29801909"/>
            <w:bookmarkStart w:id="129" w:name="_Toc21344422"/>
            <w:r>
              <w:t>6.5D.3</w:t>
            </w:r>
            <w:r>
              <w:tab/>
              <w:t>Spurious emission for UL MIMO</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130" w:name="_Toc84413875"/>
            <w:bookmarkStart w:id="131" w:name="_Toc84405266"/>
            <w:bookmarkStart w:id="132" w:name="_Toc83580757"/>
            <w:bookmarkStart w:id="133" w:name="_Toc76718419"/>
            <w:bookmarkStart w:id="134" w:name="_Toc76509429"/>
            <w:bookmarkStart w:id="135" w:name="_Toc75467407"/>
            <w:bookmarkStart w:id="136" w:name="_Toc69084397"/>
            <w:bookmarkStart w:id="137" w:name="_Toc68230984"/>
            <w:bookmarkStart w:id="138" w:name="_Toc61373035"/>
            <w:bookmarkStart w:id="139" w:name="_Toc61367652"/>
            <w:bookmarkStart w:id="140" w:name="_Toc45888954"/>
            <w:bookmarkStart w:id="141" w:name="_Toc45888355"/>
            <w:bookmarkStart w:id="142" w:name="_Toc37251475"/>
            <w:bookmarkStart w:id="143" w:name="_Toc36107701"/>
            <w:bookmarkStart w:id="144" w:name="_Toc29802959"/>
            <w:bookmarkStart w:id="145" w:name="_Toc29802334"/>
            <w:bookmarkStart w:id="146" w:name="_Toc29801910"/>
            <w:bookmarkStart w:id="147" w:name="_Toc21344423"/>
            <w:r>
              <w:t>6.5D.4</w:t>
            </w:r>
            <w:r>
              <w:tab/>
              <w:t>Transmit intermodulation for UL MIMO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7.3D</w:t>
            </w:r>
            <w:r>
              <w:tab/>
              <w:t xml:space="preserve"> Reference sensitivity for UL MIMO</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7.3G</w:t>
            </w:r>
            <w:r>
              <w:tab/>
              <w:t>Reference sensitivity for Tx Diversity</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148" w:name="_Toc84413989"/>
            <w:bookmarkStart w:id="149" w:name="_Toc84405380"/>
            <w:bookmarkStart w:id="150" w:name="_Toc83580871"/>
            <w:bookmarkStart w:id="151" w:name="_Toc76718524"/>
            <w:bookmarkStart w:id="152" w:name="_Toc76509534"/>
            <w:bookmarkStart w:id="153" w:name="_Toc75467512"/>
            <w:bookmarkStart w:id="154" w:name="_Toc69084499"/>
            <w:bookmarkStart w:id="155" w:name="_Toc68231086"/>
            <w:bookmarkStart w:id="156" w:name="_Toc61373136"/>
            <w:bookmarkStart w:id="157" w:name="_Toc61367753"/>
            <w:bookmarkStart w:id="158" w:name="_Toc45889027"/>
            <w:bookmarkStart w:id="159" w:name="_Toc45888428"/>
            <w:r>
              <w:t>7.4D</w:t>
            </w:r>
            <w:r>
              <w:tab/>
              <w:t>Maximum input level for UL MIMO</w:t>
            </w:r>
            <w:bookmarkEnd w:id="148"/>
            <w:bookmarkEnd w:id="149"/>
            <w:bookmarkEnd w:id="150"/>
            <w:bookmarkEnd w:id="151"/>
            <w:bookmarkEnd w:id="152"/>
            <w:bookmarkEnd w:id="153"/>
            <w:bookmarkEnd w:id="154"/>
            <w:bookmarkEnd w:id="155"/>
            <w:bookmarkEnd w:id="156"/>
            <w:bookmarkEnd w:id="157"/>
            <w:bookmarkEnd w:id="158"/>
            <w:bookmarkEnd w:id="159"/>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160" w:name="_Toc84413999"/>
            <w:bookmarkStart w:id="161" w:name="_Toc84405390"/>
            <w:bookmarkStart w:id="162" w:name="_Toc83580881"/>
            <w:bookmarkStart w:id="163" w:name="_Toc76718534"/>
            <w:bookmarkStart w:id="164" w:name="_Toc76509544"/>
            <w:bookmarkStart w:id="165" w:name="_Toc75467522"/>
            <w:bookmarkStart w:id="166" w:name="_Toc69084509"/>
            <w:bookmarkStart w:id="167" w:name="_Toc68231096"/>
            <w:bookmarkStart w:id="168" w:name="_Toc61373146"/>
            <w:bookmarkStart w:id="169" w:name="_Toc61367763"/>
            <w:bookmarkStart w:id="170" w:name="_Toc45889037"/>
            <w:bookmarkStart w:id="171" w:name="_Toc45888438"/>
            <w:r>
              <w:t>7.5D</w:t>
            </w:r>
            <w:r>
              <w:tab/>
              <w:t>Adjacent channel selectivity for UL MIMO</w:t>
            </w:r>
            <w:bookmarkEnd w:id="160"/>
            <w:bookmarkEnd w:id="161"/>
            <w:bookmarkEnd w:id="162"/>
            <w:bookmarkEnd w:id="163"/>
            <w:bookmarkEnd w:id="164"/>
            <w:bookmarkEnd w:id="165"/>
            <w:bookmarkEnd w:id="166"/>
            <w:bookmarkEnd w:id="167"/>
            <w:bookmarkEnd w:id="168"/>
            <w:bookmarkEnd w:id="169"/>
            <w:bookmarkEnd w:id="170"/>
            <w:bookmarkEnd w:id="171"/>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172" w:name="_Toc84414031"/>
            <w:bookmarkStart w:id="173" w:name="_Toc84405422"/>
            <w:bookmarkStart w:id="174" w:name="_Toc83580913"/>
            <w:bookmarkStart w:id="175" w:name="_Toc76718566"/>
            <w:bookmarkStart w:id="176" w:name="_Toc76509576"/>
            <w:bookmarkStart w:id="177" w:name="_Toc75467554"/>
            <w:bookmarkStart w:id="178" w:name="_Toc69084541"/>
            <w:bookmarkStart w:id="179" w:name="_Toc68231128"/>
            <w:bookmarkStart w:id="180" w:name="_Toc61373178"/>
            <w:bookmarkStart w:id="181" w:name="_Toc61367795"/>
            <w:bookmarkStart w:id="182" w:name="_Toc45889066"/>
            <w:bookmarkStart w:id="183" w:name="_Toc45888467"/>
            <w:bookmarkStart w:id="184" w:name="_Toc37251546"/>
            <w:bookmarkStart w:id="185" w:name="_Toc36107772"/>
            <w:bookmarkStart w:id="186" w:name="_Toc29803030"/>
            <w:bookmarkStart w:id="187" w:name="_Toc29802405"/>
            <w:bookmarkStart w:id="188" w:name="_Toc29801981"/>
            <w:bookmarkStart w:id="189" w:name="_Toc21344493"/>
            <w:r>
              <w:lastRenderedPageBreak/>
              <w:t>7.6D</w:t>
            </w:r>
            <w:r>
              <w:tab/>
              <w:t>Blocking characteristics for UL MIMO</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7.7D</w:t>
            </w:r>
            <w:r>
              <w:tab/>
              <w:t>Spurious response for UL MIMO</w:t>
            </w:r>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r w:rsidR="00DA0663" w:rsidTr="00DA0663">
        <w:tc>
          <w:tcPr>
            <w:tcW w:w="3681"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bookmarkStart w:id="190" w:name="_Toc84414071"/>
            <w:bookmarkStart w:id="191" w:name="_Toc84405462"/>
            <w:bookmarkStart w:id="192" w:name="_Toc83580953"/>
            <w:bookmarkStart w:id="193" w:name="_Toc76718606"/>
            <w:bookmarkStart w:id="194" w:name="_Toc76509616"/>
            <w:bookmarkStart w:id="195" w:name="_Toc75467594"/>
            <w:bookmarkStart w:id="196" w:name="_Toc69084581"/>
            <w:bookmarkStart w:id="197" w:name="_Toc68231168"/>
            <w:bookmarkStart w:id="198" w:name="_Toc61373218"/>
            <w:bookmarkStart w:id="199" w:name="_Toc61367835"/>
            <w:bookmarkStart w:id="200" w:name="_Toc45889095"/>
            <w:bookmarkStart w:id="201" w:name="_Toc45888496"/>
            <w:r>
              <w:t>7.8D</w:t>
            </w:r>
            <w:r>
              <w:tab/>
              <w:t>Intermodulation characteristics for UL MIMO</w:t>
            </w:r>
            <w:bookmarkEnd w:id="190"/>
            <w:bookmarkEnd w:id="191"/>
            <w:bookmarkEnd w:id="192"/>
            <w:bookmarkEnd w:id="193"/>
            <w:bookmarkEnd w:id="194"/>
            <w:bookmarkEnd w:id="195"/>
            <w:bookmarkEnd w:id="196"/>
            <w:bookmarkEnd w:id="197"/>
            <w:bookmarkEnd w:id="198"/>
            <w:bookmarkEnd w:id="199"/>
            <w:bookmarkEnd w:id="200"/>
            <w:bookmarkEnd w:id="201"/>
          </w:p>
        </w:tc>
        <w:tc>
          <w:tcPr>
            <w:tcW w:w="5950" w:type="dxa"/>
            <w:tcBorders>
              <w:top w:val="single" w:sz="4" w:space="0" w:color="auto"/>
              <w:left w:val="single" w:sz="4" w:space="0" w:color="auto"/>
              <w:bottom w:val="single" w:sz="4" w:space="0" w:color="auto"/>
              <w:right w:val="single" w:sz="4" w:space="0" w:color="auto"/>
            </w:tcBorders>
            <w:hideMark/>
          </w:tcPr>
          <w:p w:rsidR="00DA0663" w:rsidRDefault="00DA0663">
            <w:pPr>
              <w:spacing w:after="0"/>
            </w:pPr>
            <w:r>
              <w:t>Same as above</w:t>
            </w:r>
          </w:p>
        </w:tc>
      </w:tr>
    </w:tbl>
    <w:p w:rsidR="00DA0663" w:rsidRDefault="00DA0663" w:rsidP="00DA0663"/>
    <w:p w:rsidR="00DA0663" w:rsidRDefault="00DA0663" w:rsidP="00DA0663">
      <w:r>
        <w:t xml:space="preserve">A draft CR provided in </w:t>
      </w:r>
      <w:r w:rsidR="003749CB">
        <w:t xml:space="preserve">last meeting </w:t>
      </w:r>
      <w:r>
        <w:t>[</w:t>
      </w:r>
      <w:r w:rsidR="003749CB">
        <w:t>2</w:t>
      </w:r>
      <w:r>
        <w:t xml:space="preserve">] is to facilitate the discussion of 4Tx requirements in phase 1, which can be further revised during the discussion. </w:t>
      </w:r>
    </w:p>
    <w:p w:rsidR="00A33E8E" w:rsidRDefault="00A33E8E" w:rsidP="00A33E8E">
      <w:pPr>
        <w:pStyle w:val="1"/>
        <w:spacing w:after="240"/>
        <w:rPr>
          <w:rFonts w:eastAsia="宋体"/>
          <w:lang w:eastAsia="zh-CN"/>
        </w:rPr>
      </w:pPr>
      <w:r>
        <w:rPr>
          <w:rFonts w:eastAsia="宋体" w:hint="eastAsia"/>
          <w:lang w:eastAsia="zh-CN"/>
        </w:rPr>
        <w:t>Conclusion</w:t>
      </w:r>
    </w:p>
    <w:p w:rsidR="006E3750" w:rsidRDefault="006E3750" w:rsidP="006E3750">
      <w:r>
        <w:t xml:space="preserve">This contribution provides our further consideration for 4Tx requirements. </w:t>
      </w:r>
    </w:p>
    <w:p w:rsidR="006E3750" w:rsidRPr="00DA0663" w:rsidRDefault="006E3750" w:rsidP="006E3750">
      <w:r>
        <w:rPr>
          <w:b/>
          <w:i/>
        </w:rPr>
        <w:t xml:space="preserve">Proposal 1: UL </w:t>
      </w:r>
      <w:proofErr w:type="spellStart"/>
      <w:r>
        <w:rPr>
          <w:b/>
          <w:i/>
        </w:rPr>
        <w:t>dutycycle</w:t>
      </w:r>
      <w:proofErr w:type="spellEnd"/>
      <w:r>
        <w:rPr>
          <w:b/>
          <w:i/>
        </w:rPr>
        <w:t xml:space="preserve"> as an optional solution to address the SAR/MPE issue could be considered for </w:t>
      </w:r>
      <w:r w:rsidRPr="009B562D">
        <w:rPr>
          <w:b/>
          <w:i/>
        </w:rPr>
        <w:t>CPE/FWA/vehicle/industrial devices</w:t>
      </w:r>
      <w:r>
        <w:rPr>
          <w:b/>
          <w:i/>
        </w:rPr>
        <w:t xml:space="preserve"> supporting 4Tx.</w:t>
      </w:r>
    </w:p>
    <w:p w:rsidR="006E3750" w:rsidRPr="006E3750" w:rsidRDefault="006E3750" w:rsidP="006E3750">
      <w:pPr>
        <w:rPr>
          <w:b/>
          <w:i/>
        </w:rPr>
      </w:pPr>
      <w:r>
        <w:rPr>
          <w:b/>
          <w:i/>
        </w:rPr>
        <w:t xml:space="preserve">Proposal 2: Both PC2 and PC3 could be considered for the </w:t>
      </w:r>
      <w:proofErr w:type="spellStart"/>
      <w:r>
        <w:rPr>
          <w:b/>
          <w:i/>
        </w:rPr>
        <w:t>fallback</w:t>
      </w:r>
      <w:proofErr w:type="spellEnd"/>
      <w:r>
        <w:rPr>
          <w:b/>
          <w:i/>
        </w:rPr>
        <w:t xml:space="preserve"> power class and PA configuration of 2x26dBm or 23+26dBm is not considered during the discussion for the applicable requirements for </w:t>
      </w:r>
      <w:proofErr w:type="spellStart"/>
      <w:r>
        <w:rPr>
          <w:b/>
          <w:i/>
        </w:rPr>
        <w:t>fallback</w:t>
      </w:r>
      <w:proofErr w:type="spellEnd"/>
      <w:r>
        <w:rPr>
          <w:b/>
          <w:i/>
        </w:rPr>
        <w:t xml:space="preserve"> power class in phase 1.</w:t>
      </w:r>
    </w:p>
    <w:p w:rsidR="006E3750" w:rsidRPr="006E3750" w:rsidRDefault="006E3750" w:rsidP="006E3750">
      <w:pPr>
        <w:rPr>
          <w:b/>
          <w:i/>
        </w:rPr>
      </w:pPr>
      <w:r>
        <w:rPr>
          <w:b/>
          <w:i/>
        </w:rPr>
        <w:t xml:space="preserve">Proposal 3: It is proposed to have one set of MPR requirements for </w:t>
      </w:r>
      <w:r w:rsidRPr="009F5E98">
        <w:rPr>
          <w:b/>
          <w:i/>
        </w:rPr>
        <w:t>CPE/FWA/vehicle/industrial devices</w:t>
      </w:r>
      <w:r>
        <w:rPr>
          <w:b/>
          <w:i/>
        </w:rPr>
        <w:t>. Values in-between of the available proposals could be considered after further evaluation.</w:t>
      </w:r>
    </w:p>
    <w:p w:rsidR="006E3750" w:rsidRDefault="006E3750" w:rsidP="006E3750">
      <w:pPr>
        <w:rPr>
          <w:b/>
          <w:i/>
          <w:lang w:val="en-US" w:eastAsia="en-US"/>
        </w:rPr>
      </w:pPr>
      <w:r>
        <w:t>A draft CR provided in last meeting [2] is to facilitate the discussion of 4Tx requirements in phase 1.</w:t>
      </w:r>
    </w:p>
    <w:p w:rsidR="00B22DA6" w:rsidRDefault="00B22DA6" w:rsidP="00B22DA6">
      <w:pPr>
        <w:pStyle w:val="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FE2C06" w:rsidRPr="00FE2C06">
        <w:rPr>
          <w:lang w:eastAsia="ja-JP"/>
        </w:rPr>
        <w:t>R4-2217725</w:t>
      </w:r>
      <w:r w:rsidR="00FE2C06">
        <w:rPr>
          <w:lang w:eastAsia="ja-JP"/>
        </w:rPr>
        <w:t xml:space="preserve">, </w:t>
      </w:r>
      <w:r w:rsidR="00FE2C06" w:rsidRPr="00FE2C06">
        <w:rPr>
          <w:lang w:eastAsia="ja-JP"/>
        </w:rPr>
        <w:t>WF on FR1 4Tx UE RF requirements</w:t>
      </w:r>
      <w:r w:rsidR="00355387">
        <w:rPr>
          <w:lang w:eastAsia="ja-JP"/>
        </w:rPr>
        <w:t xml:space="preserve">, </w:t>
      </w:r>
      <w:r w:rsidR="00FE2C06">
        <w:rPr>
          <w:lang w:eastAsia="ja-JP"/>
        </w:rPr>
        <w:t>vivo</w:t>
      </w:r>
    </w:p>
    <w:p w:rsidR="006E3750" w:rsidRPr="006E3750" w:rsidRDefault="006E3750" w:rsidP="00F71A33">
      <w:pPr>
        <w:rPr>
          <w:rFonts w:eastAsiaTheme="minorEastAsia"/>
        </w:rPr>
      </w:pPr>
      <w:r>
        <w:rPr>
          <w:rFonts w:eastAsiaTheme="minorEastAsia" w:hint="eastAsia"/>
        </w:rPr>
        <w:t>[</w:t>
      </w:r>
      <w:r>
        <w:rPr>
          <w:rFonts w:eastAsiaTheme="minorEastAsia"/>
        </w:rPr>
        <w:t xml:space="preserve">2] </w:t>
      </w:r>
      <w:r w:rsidRPr="006E3750">
        <w:rPr>
          <w:rFonts w:eastAsiaTheme="minorEastAsia"/>
        </w:rPr>
        <w:t xml:space="preserve">R4-2216674, draft CR to TS 38.101-1 4Tx requirements (phase 1), Huawei, </w:t>
      </w:r>
      <w:proofErr w:type="spellStart"/>
      <w:r w:rsidRPr="006E3750">
        <w:rPr>
          <w:rFonts w:eastAsiaTheme="minorEastAsia"/>
        </w:rPr>
        <w:t>HiSilicon</w:t>
      </w:r>
      <w:proofErr w:type="spellEnd"/>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530D" w:rsidRDefault="0080530D" w:rsidP="0052762B">
      <w:r>
        <w:separator/>
      </w:r>
    </w:p>
  </w:endnote>
  <w:endnote w:type="continuationSeparator" w:id="0">
    <w:p w:rsidR="0080530D" w:rsidRDefault="0080530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530D" w:rsidRDefault="0080530D" w:rsidP="0052762B">
      <w:r>
        <w:separator/>
      </w:r>
    </w:p>
  </w:footnote>
  <w:footnote w:type="continuationSeparator" w:id="0">
    <w:p w:rsidR="0080530D" w:rsidRDefault="0080530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101A1"/>
    <w:multiLevelType w:val="hybridMultilevel"/>
    <w:tmpl w:val="6D76DA9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404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C797C1E"/>
    <w:multiLevelType w:val="hybridMultilevel"/>
    <w:tmpl w:val="2B5A9F8C"/>
    <w:lvl w:ilvl="0" w:tplc="BE649C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4"/>
  </w:num>
  <w:num w:numId="3">
    <w:abstractNumId w:val="29"/>
  </w:num>
  <w:num w:numId="4">
    <w:abstractNumId w:val="40"/>
  </w:num>
  <w:num w:numId="5">
    <w:abstractNumId w:val="1"/>
  </w:num>
  <w:num w:numId="6">
    <w:abstractNumId w:val="39"/>
  </w:num>
  <w:num w:numId="7">
    <w:abstractNumId w:val="19"/>
  </w:num>
  <w:num w:numId="8">
    <w:abstractNumId w:val="32"/>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8"/>
  </w:num>
  <w:num w:numId="20">
    <w:abstractNumId w:val="26"/>
  </w:num>
  <w:num w:numId="21">
    <w:abstractNumId w:val="16"/>
  </w:num>
  <w:num w:numId="22">
    <w:abstractNumId w:val="5"/>
  </w:num>
  <w:num w:numId="23">
    <w:abstractNumId w:val="25"/>
  </w:num>
  <w:num w:numId="24">
    <w:abstractNumId w:val="38"/>
  </w:num>
  <w:num w:numId="25">
    <w:abstractNumId w:val="9"/>
  </w:num>
  <w:num w:numId="26">
    <w:abstractNumId w:val="37"/>
  </w:num>
  <w:num w:numId="27">
    <w:abstractNumId w:val="36"/>
  </w:num>
  <w:num w:numId="28">
    <w:abstractNumId w:val="20"/>
  </w:num>
  <w:num w:numId="29">
    <w:abstractNumId w:val="42"/>
  </w:num>
  <w:num w:numId="30">
    <w:abstractNumId w:val="30"/>
  </w:num>
  <w:num w:numId="31">
    <w:abstractNumId w:val="18"/>
  </w:num>
  <w:num w:numId="32">
    <w:abstractNumId w:val="33"/>
  </w:num>
  <w:num w:numId="33">
    <w:abstractNumId w:val="6"/>
  </w:num>
  <w:num w:numId="34">
    <w:abstractNumId w:val="10"/>
  </w:num>
  <w:num w:numId="35">
    <w:abstractNumId w:val="34"/>
  </w:num>
  <w:num w:numId="36">
    <w:abstractNumId w:val="21"/>
  </w:num>
  <w:num w:numId="37">
    <w:abstractNumId w:val="7"/>
  </w:num>
  <w:num w:numId="38">
    <w:abstractNumId w:val="31"/>
  </w:num>
  <w:num w:numId="39">
    <w:abstractNumId w:val="3"/>
  </w:num>
  <w:num w:numId="40">
    <w:abstractNumId w:val="27"/>
  </w:num>
  <w:num w:numId="41">
    <w:abstractNumId w:val="17"/>
  </w:num>
  <w:num w:numId="42">
    <w:abstractNumId w:val="15"/>
  </w:num>
  <w:num w:numId="43">
    <w:abstractNumId w:val="23"/>
  </w:num>
  <w:num w:numId="44">
    <w:abstractNumId w:val="35"/>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94D"/>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7B"/>
    <w:rsid w:val="000E72B4"/>
    <w:rsid w:val="000E79C6"/>
    <w:rsid w:val="000E7FC4"/>
    <w:rsid w:val="000F031A"/>
    <w:rsid w:val="000F0576"/>
    <w:rsid w:val="000F0EA9"/>
    <w:rsid w:val="000F0F33"/>
    <w:rsid w:val="000F271E"/>
    <w:rsid w:val="000F283B"/>
    <w:rsid w:val="000F328C"/>
    <w:rsid w:val="000F42D3"/>
    <w:rsid w:val="000F4489"/>
    <w:rsid w:val="000F4599"/>
    <w:rsid w:val="000F5488"/>
    <w:rsid w:val="000F5530"/>
    <w:rsid w:val="000F5B26"/>
    <w:rsid w:val="000F68F1"/>
    <w:rsid w:val="000F690C"/>
    <w:rsid w:val="000F699B"/>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3FF5"/>
    <w:rsid w:val="00114108"/>
    <w:rsid w:val="001145CD"/>
    <w:rsid w:val="00114764"/>
    <w:rsid w:val="00115AEF"/>
    <w:rsid w:val="00116080"/>
    <w:rsid w:val="00116445"/>
    <w:rsid w:val="00116DF7"/>
    <w:rsid w:val="00117964"/>
    <w:rsid w:val="00120BBB"/>
    <w:rsid w:val="0012120A"/>
    <w:rsid w:val="001229E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C7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93E"/>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CB"/>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525"/>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74"/>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58D"/>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27C6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1"/>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750"/>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A8"/>
    <w:rsid w:val="00743EF3"/>
    <w:rsid w:val="0074406F"/>
    <w:rsid w:val="007443B3"/>
    <w:rsid w:val="007444F7"/>
    <w:rsid w:val="00744AF0"/>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0D"/>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7F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62D"/>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12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5E98"/>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41B"/>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9E5"/>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066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AD6"/>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02"/>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35"/>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C39"/>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2C06"/>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375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86182375">
      <w:bodyDiv w:val="1"/>
      <w:marLeft w:val="0"/>
      <w:marRight w:val="0"/>
      <w:marTop w:val="0"/>
      <w:marBottom w:val="0"/>
      <w:divBdr>
        <w:top w:val="none" w:sz="0" w:space="0" w:color="auto"/>
        <w:left w:val="none" w:sz="0" w:space="0" w:color="auto"/>
        <w:bottom w:val="none" w:sz="0" w:space="0" w:color="auto"/>
        <w:right w:val="none" w:sz="0" w:space="0" w:color="auto"/>
      </w:divBdr>
    </w:div>
    <w:div w:id="158815378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4069159">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0E93F-F365-445D-8643-4DA035636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136</TotalTime>
  <Pages>4</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liuye</cp:lastModifiedBy>
  <cp:revision>13</cp:revision>
  <cp:lastPrinted>2010-01-07T02:23:00Z</cp:lastPrinted>
  <dcterms:created xsi:type="dcterms:W3CDTF">2022-11-06T05:06:00Z</dcterms:created>
  <dcterms:modified xsi:type="dcterms:W3CDTF">2022-11-07T14:27:00Z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(3)D5c3ashZzBKzSNbJ63vG5S9ieJ1pA6QFYfa7IzotoV/8a0IL9ek7fyoyxyPfOwbIaHb8I8fQ
xpEV7tF1x3zXZkS5NvUIebu5KNqDgF4FscDGK9xlDxZj5cCqimPm3blz7SzONdgMe7vko9f5
l4hoTR5J5tEzQOWZgzZn/09ET5a8Jco5d/lXcsGtQJHFmfBxICPFon3HDQeVdcwptZUWLuZY
PnVj+F85hDcN48Gb8X</vt:lpwstr>
  </property>
  <property fmtid="{D5CDD505-2E9C-101B-9397-08002B2CF9AE}" pid="15" name="_2015_ms_pID_725343_00">
    <vt:lpwstr>_2015_ms_pID_725343</vt:lpwstr>
  </property>
  <property fmtid="{D5CDD505-2E9C-101B-9397-08002B2CF9AE}" pid="16" name="_2015_ms_pID_7253431">
    <vt:lpwstr>+XSHV1C01D4UEEmJURExpETLU95u60L84S53fAOVn4jzr1qalnUNEu
3WBAM+UHtTB+Ci4O1CGGfiHy4ie1crchFdwLOans00sYv7M+dYLpCRUcY1txO0+q0AvBIqOp
uZmbDS9yNzBJvJ0RcymGivBN/F96fyqhjlGBhs/ozXXi9bAXn1h8mt80jPyQ8s91b4Vd31k9
NXkEDBegK05thWI0TlywPKDmkxnM5TEMOQp7</vt:lpwstr>
  </property>
  <property fmtid="{D5CDD505-2E9C-101B-9397-08002B2CF9AE}" pid="17" name="_2015_ms_pID_7253431_00">
    <vt:lpwstr>_2015_ms_pID_7253431</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